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2DB38EFE"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#11</w:t>
      </w:r>
      <w:r w:rsidR="00850CBF">
        <w:rPr>
          <w:b/>
          <w:noProof/>
          <w:sz w:val="24"/>
          <w:lang w:val="en-US"/>
        </w:rPr>
        <w:t>9</w:t>
      </w:r>
      <w:r w:rsidR="005F7843">
        <w:rPr>
          <w:b/>
          <w:noProof/>
          <w:sz w:val="24"/>
          <w:lang w:val="en-US"/>
        </w:rPr>
        <w:t>bis</w:t>
      </w:r>
      <w:r w:rsidR="000C416C" w:rsidRPr="000C416C">
        <w:rPr>
          <w:b/>
          <w:noProof/>
          <w:sz w:val="24"/>
          <w:lang w:val="en-US"/>
        </w:rPr>
        <w:t xml:space="preserve"> elec</w:t>
      </w:r>
      <w:r w:rsidR="000C416C">
        <w:rPr>
          <w:b/>
          <w:noProof/>
          <w:sz w:val="24"/>
          <w:lang w:val="en-US"/>
        </w:rPr>
        <w:t xml:space="preserve">tronic                                     </w:t>
      </w:r>
      <w:r w:rsidR="00A65425">
        <w:rPr>
          <w:b/>
          <w:noProof/>
          <w:sz w:val="24"/>
          <w:lang w:val="en-US"/>
        </w:rPr>
        <w:t xml:space="preserve">      </w:t>
      </w:r>
      <w:r w:rsidR="000C416C">
        <w:rPr>
          <w:b/>
          <w:noProof/>
          <w:sz w:val="24"/>
          <w:lang w:val="en-US"/>
        </w:rPr>
        <w:t xml:space="preserve">   </w:t>
      </w:r>
      <w:r w:rsidRPr="000C416C">
        <w:rPr>
          <w:b/>
          <w:noProof/>
          <w:sz w:val="24"/>
          <w:lang w:val="en-US"/>
        </w:rPr>
        <w:t>R</w:t>
      </w:r>
      <w:r w:rsidR="00850CBF">
        <w:rPr>
          <w:b/>
          <w:noProof/>
          <w:sz w:val="24"/>
          <w:lang w:val="en-US"/>
        </w:rPr>
        <w:t>2</w:t>
      </w:r>
      <w:r w:rsidRPr="000C416C">
        <w:rPr>
          <w:b/>
          <w:noProof/>
          <w:sz w:val="24"/>
          <w:lang w:val="en-US"/>
        </w:rPr>
        <w:t>-2</w:t>
      </w:r>
      <w:r w:rsidR="00860820">
        <w:rPr>
          <w:b/>
          <w:noProof/>
          <w:sz w:val="24"/>
          <w:lang w:val="en-US"/>
        </w:rPr>
        <w:t>2</w:t>
      </w:r>
      <w:r w:rsidR="000F796E">
        <w:rPr>
          <w:b/>
          <w:noProof/>
          <w:sz w:val="24"/>
          <w:lang w:val="en-US"/>
        </w:rPr>
        <w:t>09703</w:t>
      </w:r>
    </w:p>
    <w:p w14:paraId="351CA33D" w14:textId="05740878" w:rsidR="00347001" w:rsidRPr="002D2634" w:rsidRDefault="00D870B2" w:rsidP="00D870B2">
      <w:pPr>
        <w:tabs>
          <w:tab w:val="left" w:pos="1985"/>
        </w:tabs>
        <w:rPr>
          <w:bCs/>
          <w:i/>
          <w:iCs/>
          <w:color w:val="2F5496"/>
          <w:sz w:val="24"/>
          <w:lang w:val="pt-PT"/>
        </w:rPr>
      </w:pPr>
      <w:r>
        <w:rPr>
          <w:rFonts w:ascii="Arial" w:eastAsia="MS Mincho" w:hAnsi="Arial"/>
          <w:b/>
          <w:noProof/>
          <w:sz w:val="24"/>
        </w:rPr>
        <w:t>Online</w:t>
      </w:r>
      <w:r w:rsidRPr="0076784F">
        <w:rPr>
          <w:rFonts w:ascii="Arial" w:eastAsia="MS Mincho" w:hAnsi="Arial"/>
          <w:b/>
          <w:noProof/>
          <w:sz w:val="24"/>
        </w:rPr>
        <w:t xml:space="preserve">, </w:t>
      </w:r>
      <w:r w:rsidR="005F7843">
        <w:rPr>
          <w:rFonts w:ascii="Arial" w:eastAsia="MS Mincho" w:hAnsi="Arial"/>
          <w:b/>
          <w:noProof/>
          <w:sz w:val="24"/>
        </w:rPr>
        <w:t>October 10</w:t>
      </w:r>
      <w:r w:rsidR="000C416C">
        <w:rPr>
          <w:rFonts w:ascii="Arial" w:eastAsia="MS Mincho" w:hAnsi="Arial"/>
          <w:b/>
          <w:noProof/>
          <w:sz w:val="24"/>
        </w:rPr>
        <w:t xml:space="preserve"> – </w:t>
      </w:r>
      <w:r w:rsidR="005F7843">
        <w:rPr>
          <w:rFonts w:ascii="Arial" w:eastAsia="MS Mincho" w:hAnsi="Arial"/>
          <w:b/>
          <w:noProof/>
          <w:sz w:val="24"/>
        </w:rPr>
        <w:t>19</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6899D72F"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850CBF">
        <w:rPr>
          <w:sz w:val="24"/>
          <w:lang w:val="pt-PT"/>
        </w:rPr>
        <w:t>8</w:t>
      </w:r>
      <w:r w:rsidR="008460EF">
        <w:rPr>
          <w:sz w:val="24"/>
          <w:lang w:val="pt-PT"/>
        </w:rPr>
        <w:t>.</w:t>
      </w:r>
      <w:r w:rsidR="00850CBF">
        <w:rPr>
          <w:sz w:val="24"/>
          <w:lang w:val="pt-PT"/>
        </w:rPr>
        <w:t>12.2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53447D08"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850CBF">
        <w:rPr>
          <w:rFonts w:ascii="Arial" w:hAnsi="Arial"/>
          <w:sz w:val="24"/>
        </w:rPr>
        <w:t xml:space="preserve">Enhancements for IAB-node mobility </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05E8E311" w:rsidR="00B65E42" w:rsidRDefault="00BF49E1" w:rsidP="006600CD">
      <w:pPr>
        <w:spacing w:after="0"/>
      </w:pPr>
      <w:r>
        <w:t>In the last meeting, RAN2 achieved the following agreements</w:t>
      </w:r>
      <w:r w:rsidR="00D80F5E">
        <w:t xml:space="preserve"> [1]:</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5A624980" w14:textId="77777777" w:rsidR="00BF49E1" w:rsidRPr="00BF49E1" w:rsidRDefault="00BF49E1" w:rsidP="00BF49E1">
            <w:pPr>
              <w:pStyle w:val="Agreement"/>
              <w:tabs>
                <w:tab w:val="num" w:pos="1619"/>
              </w:tabs>
              <w:ind w:left="360"/>
              <w:rPr>
                <w:b w:val="0"/>
                <w:bCs/>
                <w:sz w:val="18"/>
                <w:szCs w:val="22"/>
              </w:rPr>
            </w:pPr>
            <w:r w:rsidRPr="00BF49E1">
              <w:rPr>
                <w:b w:val="0"/>
                <w:bCs/>
                <w:sz w:val="18"/>
                <w:szCs w:val="22"/>
              </w:rPr>
              <w:t>The method of not broadcasting “</w:t>
            </w:r>
            <w:proofErr w:type="spellStart"/>
            <w:r w:rsidRPr="00BF49E1">
              <w:rPr>
                <w:b w:val="0"/>
                <w:bCs/>
                <w:sz w:val="18"/>
                <w:szCs w:val="22"/>
              </w:rPr>
              <w:t>iab</w:t>
            </w:r>
            <w:proofErr w:type="spellEnd"/>
            <w:r w:rsidRPr="00BF49E1">
              <w:rPr>
                <w:b w:val="0"/>
                <w:bCs/>
                <w:sz w:val="18"/>
                <w:szCs w:val="22"/>
              </w:rPr>
              <w:t>-Support” indication, is sufficient to prevent other IAB-node from accessing mobile IAB (without further spec impact).</w:t>
            </w:r>
          </w:p>
          <w:p w14:paraId="07AA9EA7" w14:textId="77777777" w:rsidR="00BF49E1" w:rsidRPr="00BF49E1" w:rsidRDefault="00BF49E1" w:rsidP="00BF49E1">
            <w:pPr>
              <w:pStyle w:val="Agreement"/>
              <w:tabs>
                <w:tab w:val="num" w:pos="1619"/>
              </w:tabs>
              <w:ind w:left="360"/>
              <w:rPr>
                <w:b w:val="0"/>
                <w:bCs/>
                <w:sz w:val="18"/>
                <w:szCs w:val="22"/>
              </w:rPr>
            </w:pPr>
            <w:r w:rsidRPr="00BF49E1">
              <w:rPr>
                <w:b w:val="0"/>
                <w:bCs/>
                <w:sz w:val="18"/>
                <w:szCs w:val="22"/>
              </w:rPr>
              <w:t xml:space="preserve">R2 assumes RACH-less procedure may be considered for on-board RRC_CONNECTED UEs, which are to be handed over together with the mobile IAB-node (would depend also on the assumptions for UL synch). </w:t>
            </w:r>
          </w:p>
          <w:p w14:paraId="7C4EC024" w14:textId="77777777" w:rsidR="00BF49E1" w:rsidRPr="00BF49E1" w:rsidRDefault="00BF49E1" w:rsidP="00BF49E1">
            <w:pPr>
              <w:pStyle w:val="Agreement"/>
              <w:tabs>
                <w:tab w:val="num" w:pos="1619"/>
              </w:tabs>
              <w:ind w:left="360"/>
              <w:rPr>
                <w:b w:val="0"/>
                <w:bCs/>
                <w:sz w:val="18"/>
                <w:szCs w:val="22"/>
              </w:rPr>
            </w:pPr>
            <w:r w:rsidRPr="00BF49E1">
              <w:rPr>
                <w:b w:val="0"/>
                <w:bCs/>
                <w:sz w:val="18"/>
                <w:szCs w:val="22"/>
              </w:rPr>
              <w:t xml:space="preserve">R2 assumes that CHO or delayed RRC config could be the baseline for group mobility (FFS if could be applicable for mobility of IAB MT), </w:t>
            </w:r>
            <w:proofErr w:type="gramStart"/>
            <w:r w:rsidRPr="00BF49E1">
              <w:rPr>
                <w:b w:val="0"/>
                <w:bCs/>
                <w:sz w:val="18"/>
                <w:szCs w:val="22"/>
              </w:rPr>
              <w:t>i.e.</w:t>
            </w:r>
            <w:proofErr w:type="gramEnd"/>
            <w:r w:rsidRPr="00BF49E1">
              <w:rPr>
                <w:b w:val="0"/>
                <w:bCs/>
                <w:sz w:val="18"/>
                <w:szCs w:val="22"/>
              </w:rPr>
              <w:t xml:space="preserve"> with a preparation in advance (not immediately) of the execution. </w:t>
            </w:r>
          </w:p>
          <w:p w14:paraId="15543236" w14:textId="49460BBB" w:rsidR="00BF49E1" w:rsidRPr="00BF49E1" w:rsidRDefault="00BF49E1" w:rsidP="00BF49E1">
            <w:pPr>
              <w:pStyle w:val="Agreement"/>
              <w:tabs>
                <w:tab w:val="num" w:pos="1619"/>
              </w:tabs>
              <w:ind w:left="360"/>
              <w:rPr>
                <w:b w:val="0"/>
                <w:bCs/>
                <w:sz w:val="18"/>
                <w:szCs w:val="22"/>
              </w:rPr>
            </w:pPr>
            <w:r w:rsidRPr="00BF49E1">
              <w:rPr>
                <w:b w:val="0"/>
                <w:bCs/>
                <w:sz w:val="18"/>
                <w:szCs w:val="22"/>
              </w:rPr>
              <w:t xml:space="preserve">The following Points are Endorsed, </w:t>
            </w:r>
            <w:proofErr w:type="gramStart"/>
            <w:r w:rsidRPr="00BF49E1">
              <w:rPr>
                <w:b w:val="0"/>
                <w:bCs/>
                <w:sz w:val="18"/>
                <w:szCs w:val="22"/>
              </w:rPr>
              <w:t>i.e.</w:t>
            </w:r>
            <w:proofErr w:type="gramEnd"/>
            <w:r w:rsidRPr="00BF49E1">
              <w:rPr>
                <w:b w:val="0"/>
                <w:bCs/>
                <w:sz w:val="18"/>
                <w:szCs w:val="22"/>
              </w:rPr>
              <w:t xml:space="preserve"> for the plan for next meeting (after one round of discussion at R2 119-e): </w:t>
            </w:r>
          </w:p>
          <w:p w14:paraId="5A16FD8F" w14:textId="77777777" w:rsidR="00BF49E1" w:rsidRPr="00BF49E1" w:rsidRDefault="00BF49E1" w:rsidP="00BF49E1">
            <w:pPr>
              <w:pStyle w:val="Agreement"/>
              <w:numPr>
                <w:ilvl w:val="0"/>
                <w:numId w:val="32"/>
              </w:numPr>
              <w:rPr>
                <w:b w:val="0"/>
                <w:bCs/>
                <w:sz w:val="18"/>
                <w:szCs w:val="22"/>
              </w:rPr>
            </w:pPr>
            <w:r w:rsidRPr="00BF49E1">
              <w:rPr>
                <w:b w:val="0"/>
                <w:bCs/>
                <w:sz w:val="18"/>
                <w:szCs w:val="22"/>
              </w:rPr>
              <w:t xml:space="preserve">P1: RAN2 to discuss scenarios, if and where enhancements to cell (re-)selection to/from the mobile IAB-node apply, </w:t>
            </w:r>
            <w:proofErr w:type="gramStart"/>
            <w:r w:rsidRPr="00BF49E1">
              <w:rPr>
                <w:b w:val="0"/>
                <w:bCs/>
                <w:sz w:val="18"/>
                <w:szCs w:val="22"/>
              </w:rPr>
              <w:t>e.g.</w:t>
            </w:r>
            <w:proofErr w:type="gramEnd"/>
            <w:r w:rsidRPr="00BF49E1">
              <w:rPr>
                <w:b w:val="0"/>
                <w:bCs/>
                <w:sz w:val="18"/>
                <w:szCs w:val="22"/>
              </w:rPr>
              <w:t xml:space="preserve"> based on mobile IAB-node broadcast parameter (this point doesn’t preclude other potential usage of </w:t>
            </w:r>
            <w:proofErr w:type="spellStart"/>
            <w:r w:rsidRPr="00BF49E1">
              <w:rPr>
                <w:b w:val="0"/>
                <w:bCs/>
                <w:sz w:val="18"/>
                <w:szCs w:val="22"/>
              </w:rPr>
              <w:t>Bcast</w:t>
            </w:r>
            <w:proofErr w:type="spellEnd"/>
            <w:r w:rsidRPr="00BF49E1">
              <w:rPr>
                <w:b w:val="0"/>
                <w:bCs/>
                <w:sz w:val="18"/>
                <w:szCs w:val="22"/>
              </w:rPr>
              <w:t xml:space="preserve"> info).</w:t>
            </w:r>
          </w:p>
          <w:p w14:paraId="3F0A3CC7" w14:textId="77777777" w:rsidR="00BF49E1" w:rsidRPr="00BF49E1" w:rsidRDefault="00BF49E1" w:rsidP="00BF49E1">
            <w:pPr>
              <w:pStyle w:val="Agreement"/>
              <w:numPr>
                <w:ilvl w:val="0"/>
                <w:numId w:val="32"/>
              </w:numPr>
              <w:rPr>
                <w:b w:val="0"/>
                <w:bCs/>
                <w:sz w:val="18"/>
                <w:szCs w:val="22"/>
              </w:rPr>
            </w:pPr>
            <w:r w:rsidRPr="00BF49E1">
              <w:rPr>
                <w:b w:val="0"/>
                <w:bCs/>
                <w:sz w:val="18"/>
                <w:szCs w:val="22"/>
              </w:rPr>
              <w:t xml:space="preserve">P2: Can discuss whether </w:t>
            </w:r>
            <w:proofErr w:type="gramStart"/>
            <w:r w:rsidRPr="00BF49E1">
              <w:rPr>
                <w:b w:val="0"/>
                <w:bCs/>
                <w:sz w:val="18"/>
                <w:szCs w:val="22"/>
              </w:rPr>
              <w:t>The</w:t>
            </w:r>
            <w:proofErr w:type="gramEnd"/>
            <w:r w:rsidRPr="00BF49E1">
              <w:rPr>
                <w:b w:val="0"/>
                <w:bCs/>
                <w:sz w:val="18"/>
                <w:szCs w:val="22"/>
              </w:rPr>
              <w:t xml:space="preserve"> mobile IAB-MT need to send a mobile-IAB indication (capability or mobility) to the IAB-donor-CU,</w:t>
            </w:r>
          </w:p>
          <w:p w14:paraId="06CA725E" w14:textId="77777777" w:rsidR="00BF49E1" w:rsidRPr="00BF49E1" w:rsidRDefault="00BF49E1" w:rsidP="00BF49E1">
            <w:pPr>
              <w:pStyle w:val="Agreement"/>
              <w:numPr>
                <w:ilvl w:val="0"/>
                <w:numId w:val="32"/>
              </w:numPr>
              <w:rPr>
                <w:b w:val="0"/>
                <w:bCs/>
                <w:sz w:val="18"/>
                <w:szCs w:val="22"/>
              </w:rPr>
            </w:pPr>
            <w:r w:rsidRPr="00BF49E1">
              <w:rPr>
                <w:b w:val="0"/>
                <w:bCs/>
                <w:sz w:val="18"/>
                <w:szCs w:val="22"/>
              </w:rPr>
              <w:t xml:space="preserve">P3: For “dual-DU-way” of doing full migration, RAN2 may discuss whether the legacy UE should see the two logical cells/DUs as separate or same physical cell(s), and what procedure(s) the legacy UE needs to perform in either case. </w:t>
            </w:r>
          </w:p>
          <w:p w14:paraId="1F922BFC" w14:textId="77777777" w:rsidR="00BF49E1" w:rsidRPr="00BF49E1" w:rsidRDefault="00BF49E1" w:rsidP="00BF49E1">
            <w:pPr>
              <w:pStyle w:val="Agreement"/>
              <w:numPr>
                <w:ilvl w:val="0"/>
                <w:numId w:val="32"/>
              </w:numPr>
              <w:rPr>
                <w:b w:val="0"/>
                <w:bCs/>
                <w:sz w:val="18"/>
                <w:szCs w:val="22"/>
              </w:rPr>
            </w:pPr>
            <w:r w:rsidRPr="00BF49E1">
              <w:rPr>
                <w:b w:val="0"/>
                <w:bCs/>
                <w:sz w:val="18"/>
                <w:szCs w:val="22"/>
              </w:rPr>
              <w:t xml:space="preserve">P4: RAN2 may discuss whether there are issues with PCI partitioning that needs to/can be addressed (to be used in applicable scenario), if any found within R2 scope. May discuss need for and feasibility from R2 point of view of a dynamic PCI change mechanism. May also discuss whether enhancements to/vs current UE/MT reporting are useful/necessary to improve PCI collision detection. </w:t>
            </w:r>
          </w:p>
          <w:p w14:paraId="080149EE" w14:textId="06F3E173" w:rsidR="00B65E42" w:rsidRPr="00BF49E1" w:rsidRDefault="00BF49E1" w:rsidP="00BF49E1">
            <w:pPr>
              <w:pStyle w:val="Agreement"/>
              <w:numPr>
                <w:ilvl w:val="0"/>
                <w:numId w:val="32"/>
              </w:numPr>
            </w:pPr>
            <w:r w:rsidRPr="00BF49E1">
              <w:rPr>
                <w:b w:val="0"/>
                <w:bCs/>
                <w:sz w:val="18"/>
                <w:szCs w:val="22"/>
              </w:rPr>
              <w:t>P5: RAN2 may discuss whether there is a problem of RACH configuration collision between mobile IAB and stationary network from RAN2 perspective and/or whether RAN2 should ask RAN1 to consider RAN1-related aspects.</w:t>
            </w:r>
            <w:r w:rsidRPr="00BF49E1">
              <w:rPr>
                <w:sz w:val="18"/>
                <w:szCs w:val="22"/>
              </w:rPr>
              <w:t xml:space="preserve"> </w:t>
            </w:r>
          </w:p>
        </w:tc>
      </w:tr>
    </w:tbl>
    <w:p w14:paraId="5CA0210C" w14:textId="77777777" w:rsidR="00B65E42" w:rsidRDefault="00B65E42" w:rsidP="006600CD">
      <w:pPr>
        <w:spacing w:after="0"/>
      </w:pPr>
    </w:p>
    <w:p w14:paraId="662C4159" w14:textId="21B3EC47" w:rsidR="00F705E6" w:rsidRDefault="00D80F5E" w:rsidP="00F705E6">
      <w:pPr>
        <w:spacing w:after="0"/>
      </w:pPr>
      <w:r>
        <w:t xml:space="preserve">This contribution discusses </w:t>
      </w:r>
      <w:r w:rsidR="005E359C">
        <w:t xml:space="preserve">the </w:t>
      </w:r>
      <w:r w:rsidR="00850CBF">
        <w:t xml:space="preserve">topics </w:t>
      </w:r>
      <w:r w:rsidR="005E359C">
        <w:t>P1 to P</w:t>
      </w:r>
      <w:r w:rsidR="00E55DCB">
        <w:t>3</w:t>
      </w:r>
      <w:r w:rsidR="005E359C">
        <w:t xml:space="preserve"> </w:t>
      </w:r>
      <w:r w:rsidR="00C01E8E">
        <w:t>as well as conditional RRC execution for group mobility and RACH-less handover.</w:t>
      </w:r>
    </w:p>
    <w:p w14:paraId="567263CA" w14:textId="77777777" w:rsidR="00F705E6" w:rsidRPr="00320A6B" w:rsidRDefault="00F705E6" w:rsidP="00382A17"/>
    <w:p w14:paraId="68AF9242" w14:textId="211BF4F2" w:rsidR="00CD4C7B" w:rsidRPr="00320A6B" w:rsidRDefault="00CD4C7B" w:rsidP="00CD4C7B">
      <w:pPr>
        <w:pStyle w:val="Heading1"/>
      </w:pPr>
      <w:r w:rsidRPr="00320A6B">
        <w:t>2</w:t>
      </w:r>
      <w:r w:rsidRPr="00320A6B">
        <w:tab/>
      </w:r>
      <w:r w:rsidR="00A66990">
        <w:t>Discussion</w:t>
      </w:r>
    </w:p>
    <w:p w14:paraId="1799098C" w14:textId="45626AB3" w:rsidR="005E359C" w:rsidRDefault="005E359C" w:rsidP="005E359C">
      <w:pPr>
        <w:pStyle w:val="Heading2"/>
      </w:pPr>
      <w:r>
        <w:t>2.1</w:t>
      </w:r>
      <w:r>
        <w:tab/>
        <w:t>Enhancements for cell (re-)selection</w:t>
      </w:r>
    </w:p>
    <w:p w14:paraId="7F359097" w14:textId="72F31D74" w:rsidR="00342578" w:rsidRPr="00903DD4" w:rsidRDefault="00342578" w:rsidP="00342578">
      <w:pPr>
        <w:spacing w:after="0"/>
      </w:pPr>
      <w:r w:rsidRPr="00903DD4">
        <w:t xml:space="preserve">According to the WID, IAB-node mobility is transparent to legacy UEs. </w:t>
      </w:r>
      <w:r w:rsidR="000B0D71">
        <w:t>Therefore</w:t>
      </w:r>
      <w:r w:rsidRPr="00903DD4">
        <w:t>, the cell (re-)selection criteria defined in TS 38.304 should also</w:t>
      </w:r>
      <w:r w:rsidR="000B0D71">
        <w:t xml:space="preserve"> be suitable for legacy UEs when (re-)selecting</w:t>
      </w:r>
      <w:r w:rsidRPr="00903DD4">
        <w:t xml:space="preserve"> cells pertaining to a mobile IAB-node.</w:t>
      </w:r>
    </w:p>
    <w:p w14:paraId="1F6105E3" w14:textId="77777777" w:rsidR="00342578" w:rsidRPr="00903DD4" w:rsidRDefault="00342578" w:rsidP="00342578">
      <w:pPr>
        <w:spacing w:after="0"/>
      </w:pPr>
    </w:p>
    <w:p w14:paraId="5EB599F2" w14:textId="5B603A60" w:rsidR="00342578" w:rsidRPr="00903DD4" w:rsidRDefault="00342578" w:rsidP="00342578">
      <w:pPr>
        <w:spacing w:after="0"/>
      </w:pPr>
      <w:r w:rsidRPr="00903DD4">
        <w:t>Enhancements for cell (re-)selection may be considered for Rel-18 UEs. It remains to be discussed which enhancements to the legacy cell (re-)selection criteria could provide benefits for cell (re-)selection to/from a mobile IAB-node.</w:t>
      </w:r>
    </w:p>
    <w:p w14:paraId="7D6F0520" w14:textId="2724A020" w:rsidR="00342578" w:rsidRPr="00903DD4" w:rsidRDefault="00342578" w:rsidP="00342578">
      <w:pPr>
        <w:spacing w:after="0"/>
      </w:pPr>
    </w:p>
    <w:p w14:paraId="294EC06D" w14:textId="753D1506" w:rsidR="00EF2758" w:rsidRPr="00903DD4" w:rsidRDefault="008B477F" w:rsidP="00342578">
      <w:pPr>
        <w:spacing w:after="0"/>
      </w:pPr>
      <w:r>
        <w:t>For mobile IAB</w:t>
      </w:r>
      <w:r w:rsidR="00EF2758" w:rsidRPr="00903DD4">
        <w:t xml:space="preserve">, </w:t>
      </w:r>
      <w:r>
        <w:t>the speed o</w:t>
      </w:r>
      <w:r w:rsidR="00FF0142">
        <w:t>f</w:t>
      </w:r>
      <w:r>
        <w:t xml:space="preserve"> the </w:t>
      </w:r>
      <w:r w:rsidR="00FF0142">
        <w:t xml:space="preserve">IAB-node </w:t>
      </w:r>
      <w:r>
        <w:t>cell needs to be considered for</w:t>
      </w:r>
      <w:r w:rsidR="00EF2758" w:rsidRPr="00903DD4">
        <w:t xml:space="preserve"> cell (re-)selection.</w:t>
      </w:r>
      <w:r w:rsidR="00FF0142">
        <w:t xml:space="preserve"> </w:t>
      </w:r>
      <w:r w:rsidR="00754F5F" w:rsidRPr="00903DD4">
        <w:t>According to TS 38.304, the cell (re-)selection criteria depend on the UE’s mobility state. The UE can be in low-, normal-, medium- or high-mobility state. T</w:t>
      </w:r>
      <w:r w:rsidR="00EF2758" w:rsidRPr="00903DD4">
        <w:t>he UE</w:t>
      </w:r>
      <w:r w:rsidR="00754F5F" w:rsidRPr="00903DD4">
        <w:t xml:space="preserve"> </w:t>
      </w:r>
      <w:r w:rsidR="00EF2758" w:rsidRPr="00903DD4">
        <w:t>determines if it is at normal</w:t>
      </w:r>
      <w:r w:rsidR="00754F5F" w:rsidRPr="00903DD4">
        <w:t>-, medium- or high-mobility state based on the frequency of cell reselections. It determines if it is in low mobility state based on the temporal evolution of the serving-cell’s signal strength.</w:t>
      </w:r>
    </w:p>
    <w:p w14:paraId="1B691752" w14:textId="29B0623B" w:rsidR="00EF2758" w:rsidRPr="00903DD4" w:rsidRDefault="00EF2758" w:rsidP="00342578">
      <w:pPr>
        <w:spacing w:after="0"/>
      </w:pPr>
    </w:p>
    <w:p w14:paraId="5BEF07F6" w14:textId="77777777" w:rsidR="001801CC" w:rsidRPr="00903DD4" w:rsidRDefault="001801CC" w:rsidP="00342578">
      <w:pPr>
        <w:spacing w:after="0"/>
      </w:pPr>
      <w:r w:rsidRPr="00903DD4">
        <w:t xml:space="preserve">The mobility-state definitions defined in TS 38.304 for cell (re-)selection </w:t>
      </w:r>
      <w:proofErr w:type="gramStart"/>
      <w:r w:rsidRPr="00903DD4">
        <w:t>are based on the assumption</w:t>
      </w:r>
      <w:proofErr w:type="gramEnd"/>
      <w:r w:rsidRPr="00903DD4">
        <w:t xml:space="preserve"> that cells are stationary.</w:t>
      </w:r>
    </w:p>
    <w:p w14:paraId="1A291A85" w14:textId="77777777" w:rsidR="001801CC" w:rsidRPr="00903DD4" w:rsidRDefault="001801CC" w:rsidP="00342578">
      <w:pPr>
        <w:spacing w:after="0"/>
      </w:pPr>
    </w:p>
    <w:p w14:paraId="00069BF0" w14:textId="4E050052" w:rsidR="001801CC" w:rsidRPr="00903DD4" w:rsidRDefault="001801CC" w:rsidP="001801CC">
      <w:pPr>
        <w:spacing w:after="0"/>
        <w:rPr>
          <w:b/>
          <w:bCs/>
        </w:rPr>
      </w:pPr>
      <w:r w:rsidRPr="00903DD4">
        <w:rPr>
          <w:b/>
          <w:bCs/>
        </w:rPr>
        <w:t xml:space="preserve">Observation </w:t>
      </w:r>
      <w:r w:rsidR="00FF0142">
        <w:rPr>
          <w:b/>
          <w:bCs/>
        </w:rPr>
        <w:t>1</w:t>
      </w:r>
      <w:r w:rsidRPr="00903DD4">
        <w:rPr>
          <w:b/>
          <w:bCs/>
        </w:rPr>
        <w:t xml:space="preserve">: The mobility-state-dependent cell (re-)selection criteria defined in TS 38.304 </w:t>
      </w:r>
      <w:proofErr w:type="gramStart"/>
      <w:r w:rsidRPr="00903DD4">
        <w:rPr>
          <w:b/>
          <w:bCs/>
        </w:rPr>
        <w:t>are based on the assumption</w:t>
      </w:r>
      <w:proofErr w:type="gramEnd"/>
      <w:r w:rsidRPr="00903DD4">
        <w:rPr>
          <w:b/>
          <w:bCs/>
        </w:rPr>
        <w:t xml:space="preserve"> that cells are stationary.</w:t>
      </w:r>
    </w:p>
    <w:p w14:paraId="2C24735A" w14:textId="06BFB6F4" w:rsidR="00943958" w:rsidRPr="00903DD4" w:rsidRDefault="00943958" w:rsidP="001801CC">
      <w:pPr>
        <w:spacing w:after="0"/>
        <w:rPr>
          <w:b/>
          <w:bCs/>
        </w:rPr>
      </w:pPr>
    </w:p>
    <w:p w14:paraId="0D52021B" w14:textId="1F51E116" w:rsidR="006D21DD" w:rsidRPr="00903DD4" w:rsidRDefault="00943958" w:rsidP="006D21DD">
      <w:pPr>
        <w:spacing w:after="0"/>
        <w:rPr>
          <w:b/>
          <w:bCs/>
        </w:rPr>
      </w:pPr>
      <w:r w:rsidRPr="00903DD4">
        <w:rPr>
          <w:b/>
          <w:bCs/>
        </w:rPr>
        <w:t xml:space="preserve">Observation </w:t>
      </w:r>
      <w:r w:rsidR="00FF0142">
        <w:rPr>
          <w:b/>
          <w:bCs/>
        </w:rPr>
        <w:t>2</w:t>
      </w:r>
      <w:r w:rsidRPr="00903DD4">
        <w:rPr>
          <w:b/>
          <w:bCs/>
        </w:rPr>
        <w:t xml:space="preserve">: </w:t>
      </w:r>
      <w:r w:rsidR="006D21DD" w:rsidRPr="00903DD4">
        <w:rPr>
          <w:b/>
          <w:bCs/>
        </w:rPr>
        <w:t>The mobility-state-dependent cell (re-)selection criteria defined in TS 38.304 may lead to suboptimal outcome if applied to moving cells or a mix of stationary and moving cells.</w:t>
      </w:r>
    </w:p>
    <w:p w14:paraId="0BDB6233" w14:textId="77777777" w:rsidR="006D21DD" w:rsidRPr="00903DD4" w:rsidRDefault="006D21DD" w:rsidP="00342578">
      <w:pPr>
        <w:spacing w:after="0"/>
      </w:pPr>
    </w:p>
    <w:p w14:paraId="5AB366B1" w14:textId="563588E0" w:rsidR="006D21DD" w:rsidRPr="00903DD4" w:rsidRDefault="002D2415" w:rsidP="00342578">
      <w:pPr>
        <w:spacing w:after="0"/>
      </w:pPr>
      <w:r w:rsidRPr="00903DD4">
        <w:t xml:space="preserve">The following scenarios can be identified, where IAB-node mobility may impact </w:t>
      </w:r>
      <w:r w:rsidR="00FF0142">
        <w:t xml:space="preserve">on </w:t>
      </w:r>
      <w:r w:rsidRPr="00903DD4">
        <w:t>cell (re-)selection:</w:t>
      </w:r>
    </w:p>
    <w:p w14:paraId="3C20F46E" w14:textId="418A22D3" w:rsidR="002D2415" w:rsidRPr="00903DD4" w:rsidRDefault="002D2415" w:rsidP="002D2415">
      <w:pPr>
        <w:pStyle w:val="ListParagraph"/>
        <w:numPr>
          <w:ilvl w:val="0"/>
          <w:numId w:val="37"/>
        </w:numPr>
        <w:spacing w:after="0"/>
      </w:pPr>
      <w:r w:rsidRPr="00903DD4">
        <w:t>Scenario 1: UE and mobile IAB-node onboard of same vehicle at high speed</w:t>
      </w:r>
    </w:p>
    <w:p w14:paraId="7675C469" w14:textId="6B66E1C6" w:rsidR="002D2415" w:rsidRPr="00903DD4" w:rsidRDefault="002D2415" w:rsidP="002D2415">
      <w:pPr>
        <w:pStyle w:val="ListParagraph"/>
        <w:numPr>
          <w:ilvl w:val="0"/>
          <w:numId w:val="37"/>
        </w:numPr>
        <w:spacing w:after="0"/>
      </w:pPr>
      <w:r w:rsidRPr="00903DD4">
        <w:t>Scenario 2: UE is slow and mobile IAB-nodes pass</w:t>
      </w:r>
      <w:r w:rsidR="006D26EE" w:rsidRPr="00903DD4">
        <w:t>es</w:t>
      </w:r>
      <w:r w:rsidRPr="00903DD4">
        <w:t xml:space="preserve"> at high speed</w:t>
      </w:r>
    </w:p>
    <w:p w14:paraId="0350A16A" w14:textId="0631F415" w:rsidR="002D2415" w:rsidRPr="00903DD4" w:rsidRDefault="002D2415" w:rsidP="002D2415">
      <w:pPr>
        <w:pStyle w:val="ListParagraph"/>
        <w:numPr>
          <w:ilvl w:val="0"/>
          <w:numId w:val="37"/>
        </w:numPr>
        <w:spacing w:after="0"/>
      </w:pPr>
      <w:r w:rsidRPr="00903DD4">
        <w:t>Scenario 3: UE and mobile-IAB-node on s</w:t>
      </w:r>
      <w:r w:rsidR="00FF0142">
        <w:t>e</w:t>
      </w:r>
      <w:r w:rsidRPr="00903DD4">
        <w:t>p</w:t>
      </w:r>
      <w:r w:rsidR="00FF0142">
        <w:t>a</w:t>
      </w:r>
      <w:r w:rsidRPr="00903DD4">
        <w:t>rate vehicles moving in parallel at high speed</w:t>
      </w:r>
    </w:p>
    <w:p w14:paraId="7D3D1C56" w14:textId="1700287B" w:rsidR="002D2415" w:rsidRPr="00903DD4" w:rsidRDefault="002D2415" w:rsidP="002D2415">
      <w:pPr>
        <w:pStyle w:val="ListParagraph"/>
        <w:numPr>
          <w:ilvl w:val="0"/>
          <w:numId w:val="37"/>
        </w:numPr>
        <w:spacing w:after="0"/>
      </w:pPr>
      <w:r w:rsidRPr="00903DD4">
        <w:t>Scenario 4: UE and mobile-IAB-node on s</w:t>
      </w:r>
      <w:r w:rsidR="00FF0142">
        <w:t>e</w:t>
      </w:r>
      <w:r w:rsidRPr="00903DD4">
        <w:t>p</w:t>
      </w:r>
      <w:r w:rsidR="00FF0142">
        <w:t>a</w:t>
      </w:r>
      <w:r w:rsidRPr="00903DD4">
        <w:t>rate vehicles moving in opposite direction at high speed</w:t>
      </w:r>
    </w:p>
    <w:p w14:paraId="38223F82" w14:textId="115D669A" w:rsidR="005855AB" w:rsidRPr="00903DD4" w:rsidRDefault="005855AB" w:rsidP="005855AB">
      <w:pPr>
        <w:pStyle w:val="ListParagraph"/>
        <w:numPr>
          <w:ilvl w:val="0"/>
          <w:numId w:val="37"/>
        </w:numPr>
        <w:spacing w:after="0"/>
      </w:pPr>
      <w:r w:rsidRPr="00903DD4">
        <w:t xml:space="preserve">Scenario 5: UE not on board; mobile IAB-node at low speed </w:t>
      </w:r>
    </w:p>
    <w:p w14:paraId="1BC3F3B5" w14:textId="77777777" w:rsidR="006D21DD" w:rsidRPr="00903DD4" w:rsidRDefault="006D21DD" w:rsidP="00342578">
      <w:pPr>
        <w:spacing w:after="0"/>
      </w:pPr>
    </w:p>
    <w:p w14:paraId="30E87121" w14:textId="12C496B7" w:rsidR="002D2415" w:rsidRPr="00903DD4" w:rsidRDefault="002D2415" w:rsidP="002D2415">
      <w:pPr>
        <w:spacing w:after="0"/>
      </w:pPr>
      <w:r w:rsidRPr="00903DD4">
        <w:t xml:space="preserve">These scenarios can be analysed once for the legacy UE and then for a Rel-18 UE, which receives an “mobile IAB-node status” broadcast indication from mobile IAB-node cells. </w:t>
      </w:r>
    </w:p>
    <w:p w14:paraId="68446D34" w14:textId="0C8CC650" w:rsidR="002A64CB" w:rsidRPr="00903DD4" w:rsidRDefault="00BB69C4" w:rsidP="00342578">
      <w:pPr>
        <w:spacing w:after="0"/>
        <w:rPr>
          <w:b/>
          <w:bCs/>
        </w:rPr>
      </w:pPr>
      <w:r w:rsidRPr="00903DD4">
        <w:br/>
      </w:r>
      <w:r w:rsidR="002A64CB" w:rsidRPr="00903DD4">
        <w:rPr>
          <w:b/>
          <w:bCs/>
        </w:rPr>
        <w:t>Analysis for Legacy UE:</w:t>
      </w:r>
    </w:p>
    <w:p w14:paraId="3974C69D" w14:textId="77777777" w:rsidR="002A64CB" w:rsidRPr="00903DD4" w:rsidRDefault="002A64CB" w:rsidP="00342578">
      <w:pPr>
        <w:spacing w:after="0"/>
        <w:rPr>
          <w:b/>
          <w:bCs/>
        </w:rPr>
      </w:pPr>
    </w:p>
    <w:p w14:paraId="6F51554A" w14:textId="1F5C134C" w:rsidR="00A16DF1" w:rsidRPr="00903DD4" w:rsidRDefault="002D2415" w:rsidP="002A64CB">
      <w:pPr>
        <w:spacing w:after="0"/>
        <w:ind w:left="432"/>
        <w:rPr>
          <w:b/>
          <w:bCs/>
        </w:rPr>
      </w:pPr>
      <w:r w:rsidRPr="00903DD4">
        <w:rPr>
          <w:b/>
          <w:bCs/>
        </w:rPr>
        <w:t>Scenario</w:t>
      </w:r>
      <w:r w:rsidR="00A16DF1" w:rsidRPr="00903DD4">
        <w:rPr>
          <w:b/>
          <w:bCs/>
        </w:rPr>
        <w:t xml:space="preserve"> 1: </w:t>
      </w:r>
      <w:r w:rsidR="00AC2CF8" w:rsidRPr="00903DD4">
        <w:rPr>
          <w:b/>
          <w:bCs/>
          <w:u w:val="single"/>
        </w:rPr>
        <w:t>Legacy</w:t>
      </w:r>
      <w:r w:rsidR="00AC2CF8" w:rsidRPr="00903DD4">
        <w:rPr>
          <w:b/>
          <w:bCs/>
        </w:rPr>
        <w:t xml:space="preserve"> </w:t>
      </w:r>
      <w:r w:rsidR="00A16DF1" w:rsidRPr="00903DD4">
        <w:rPr>
          <w:b/>
          <w:bCs/>
        </w:rPr>
        <w:t>UE and m</w:t>
      </w:r>
      <w:r w:rsidR="00B33E45" w:rsidRPr="00903DD4">
        <w:rPr>
          <w:b/>
          <w:bCs/>
        </w:rPr>
        <w:t xml:space="preserve">obile </w:t>
      </w:r>
      <w:r w:rsidR="00A16DF1" w:rsidRPr="00903DD4">
        <w:rPr>
          <w:b/>
          <w:bCs/>
        </w:rPr>
        <w:t>IAB</w:t>
      </w:r>
      <w:r w:rsidR="00B33E45" w:rsidRPr="00903DD4">
        <w:rPr>
          <w:b/>
          <w:bCs/>
        </w:rPr>
        <w:t>-node</w:t>
      </w:r>
      <w:r w:rsidR="00A16DF1" w:rsidRPr="00903DD4">
        <w:rPr>
          <w:b/>
          <w:bCs/>
        </w:rPr>
        <w:t xml:space="preserve"> </w:t>
      </w:r>
      <w:r w:rsidRPr="00903DD4">
        <w:rPr>
          <w:b/>
          <w:bCs/>
        </w:rPr>
        <w:t>at high speed on same vehicle</w:t>
      </w:r>
    </w:p>
    <w:p w14:paraId="00E20850" w14:textId="3AEFDF73" w:rsidR="00BB69C4" w:rsidRPr="00903DD4" w:rsidRDefault="00383752" w:rsidP="002A64CB">
      <w:pPr>
        <w:spacing w:after="0"/>
        <w:ind w:left="432"/>
      </w:pPr>
      <w:r>
        <w:t>When the UE camps on the mobile IAB-node cells</w:t>
      </w:r>
      <w:r w:rsidR="00BB69C4" w:rsidRPr="00903DD4">
        <w:t xml:space="preserve">, </w:t>
      </w:r>
      <w:r>
        <w:t>it should</w:t>
      </w:r>
      <w:r w:rsidR="00BB69C4" w:rsidRPr="00903DD4">
        <w:t xml:space="preserve"> enter slow-mobility state</w:t>
      </w:r>
      <w:r>
        <w:t xml:space="preserve">. However, this </w:t>
      </w:r>
      <w:r w:rsidR="00BB69C4" w:rsidRPr="00903DD4">
        <w:t xml:space="preserve">may not </w:t>
      </w:r>
      <w:r>
        <w:t>happen</w:t>
      </w:r>
      <w:r w:rsidR="00BB69C4" w:rsidRPr="00903DD4">
        <w:t xml:space="preserve"> </w:t>
      </w:r>
      <w:r w:rsidR="00A16DF1" w:rsidRPr="00903DD4">
        <w:t xml:space="preserve">due to </w:t>
      </w:r>
      <w:r w:rsidR="00BB69C4" w:rsidRPr="00903DD4">
        <w:t xml:space="preserve">cells of the stationary network </w:t>
      </w:r>
      <w:r w:rsidR="00A16DF1" w:rsidRPr="00903DD4">
        <w:t xml:space="preserve">that </w:t>
      </w:r>
      <w:r w:rsidR="00BB69C4" w:rsidRPr="00903DD4">
        <w:t xml:space="preserve">frequently come into </w:t>
      </w:r>
      <w:r>
        <w:t>the UE’s</w:t>
      </w:r>
      <w:r w:rsidR="00BB69C4" w:rsidRPr="00903DD4">
        <w:t xml:space="preserve"> vicinity. This issue is serious as it represents the main use case of this work item.</w:t>
      </w:r>
    </w:p>
    <w:p w14:paraId="2405975A" w14:textId="77777777" w:rsidR="00BB69C4" w:rsidRPr="00903DD4" w:rsidRDefault="00BB69C4" w:rsidP="002A64CB">
      <w:pPr>
        <w:spacing w:after="0"/>
        <w:ind w:left="432"/>
      </w:pPr>
    </w:p>
    <w:p w14:paraId="11BB02D2" w14:textId="2A5D2041" w:rsidR="0028311E" w:rsidRPr="00903DD4" w:rsidRDefault="002D2415" w:rsidP="002A64CB">
      <w:pPr>
        <w:spacing w:after="0"/>
        <w:ind w:left="432"/>
        <w:rPr>
          <w:b/>
          <w:bCs/>
        </w:rPr>
      </w:pPr>
      <w:r w:rsidRPr="00903DD4">
        <w:rPr>
          <w:b/>
          <w:bCs/>
        </w:rPr>
        <w:t xml:space="preserve">Scenario </w:t>
      </w:r>
      <w:r w:rsidR="0028311E" w:rsidRPr="00903DD4">
        <w:rPr>
          <w:b/>
          <w:bCs/>
        </w:rPr>
        <w:t xml:space="preserve">2: </w:t>
      </w:r>
      <w:r w:rsidR="00AC2CF8" w:rsidRPr="00903DD4">
        <w:rPr>
          <w:b/>
          <w:bCs/>
          <w:u w:val="single"/>
        </w:rPr>
        <w:t>Legacy</w:t>
      </w:r>
      <w:r w:rsidR="00AC2CF8" w:rsidRPr="00903DD4">
        <w:rPr>
          <w:b/>
          <w:bCs/>
        </w:rPr>
        <w:t xml:space="preserve"> </w:t>
      </w:r>
      <w:r w:rsidR="0028311E" w:rsidRPr="00903DD4">
        <w:rPr>
          <w:b/>
          <w:bCs/>
        </w:rPr>
        <w:t xml:space="preserve">UE is slow and mobile </w:t>
      </w:r>
      <w:r w:rsidR="00B33E45" w:rsidRPr="00903DD4">
        <w:rPr>
          <w:b/>
          <w:bCs/>
        </w:rPr>
        <w:t>IAB-</w:t>
      </w:r>
      <w:r w:rsidR="0028311E" w:rsidRPr="00903DD4">
        <w:rPr>
          <w:b/>
          <w:bCs/>
        </w:rPr>
        <w:t>node</w:t>
      </w:r>
      <w:r w:rsidR="00B33E45" w:rsidRPr="00903DD4">
        <w:rPr>
          <w:b/>
          <w:bCs/>
        </w:rPr>
        <w:t>s</w:t>
      </w:r>
      <w:r w:rsidR="0028311E" w:rsidRPr="00903DD4">
        <w:rPr>
          <w:b/>
          <w:bCs/>
        </w:rPr>
        <w:t xml:space="preserve"> pass</w:t>
      </w:r>
      <w:r w:rsidRPr="00903DD4">
        <w:rPr>
          <w:b/>
          <w:bCs/>
        </w:rPr>
        <w:t>es</w:t>
      </w:r>
      <w:r w:rsidR="0028311E" w:rsidRPr="00903DD4">
        <w:rPr>
          <w:b/>
          <w:bCs/>
        </w:rPr>
        <w:t xml:space="preserve"> at high speed</w:t>
      </w:r>
    </w:p>
    <w:p w14:paraId="4E67DB33" w14:textId="1B382F99" w:rsidR="0028311E" w:rsidRPr="00903DD4" w:rsidRDefault="0028311E" w:rsidP="002A64CB">
      <w:pPr>
        <w:spacing w:after="0"/>
        <w:ind w:left="432"/>
      </w:pPr>
      <w:r w:rsidRPr="00903DD4">
        <w:t xml:space="preserve">This issue arises </w:t>
      </w:r>
      <w:r w:rsidR="00383752">
        <w:t>when</w:t>
      </w:r>
      <w:r w:rsidRPr="00903DD4">
        <w:t xml:space="preserve"> the UE resides at the side of a road </w:t>
      </w:r>
      <w:r w:rsidR="00383752">
        <w:t>where vehicles equipped with mobile IAB-nodes pass by</w:t>
      </w:r>
      <w:r w:rsidRPr="00903DD4">
        <w:t xml:space="preserve">. This scenario is rather likely to occur. </w:t>
      </w:r>
      <w:r w:rsidR="00383752">
        <w:t>In this scenario, t</w:t>
      </w:r>
      <w:r w:rsidRPr="00903DD4">
        <w:t xml:space="preserve">he UE </w:t>
      </w:r>
      <w:r w:rsidR="00383752">
        <w:t xml:space="preserve">should camp on a cell of the stationary network and </w:t>
      </w:r>
      <w:r w:rsidRPr="00903DD4">
        <w:t>enter slow-mobility state</w:t>
      </w:r>
      <w:r w:rsidR="00383752">
        <w:t>. This, however, may not happen due to</w:t>
      </w:r>
      <w:r w:rsidRPr="00903DD4">
        <w:t xml:space="preserve"> mobile IAB-node cells that frequently come into </w:t>
      </w:r>
      <w:r w:rsidR="00383752">
        <w:t>the UE’s</w:t>
      </w:r>
      <w:r w:rsidRPr="00903DD4">
        <w:t xml:space="preserve"> vicinity. </w:t>
      </w:r>
    </w:p>
    <w:p w14:paraId="1E7D552F" w14:textId="77777777" w:rsidR="0028311E" w:rsidRPr="00903DD4" w:rsidRDefault="0028311E" w:rsidP="002A64CB">
      <w:pPr>
        <w:spacing w:after="0"/>
        <w:ind w:left="432"/>
      </w:pPr>
    </w:p>
    <w:p w14:paraId="0DC881B4" w14:textId="64195554" w:rsidR="00A16DF1" w:rsidRPr="00903DD4" w:rsidRDefault="002D2415" w:rsidP="002A64CB">
      <w:pPr>
        <w:spacing w:after="0"/>
        <w:ind w:left="432"/>
        <w:rPr>
          <w:b/>
          <w:bCs/>
        </w:rPr>
      </w:pPr>
      <w:r w:rsidRPr="00903DD4">
        <w:rPr>
          <w:b/>
          <w:bCs/>
        </w:rPr>
        <w:t xml:space="preserve">Scenario </w:t>
      </w:r>
      <w:r w:rsidR="0028311E" w:rsidRPr="00903DD4">
        <w:rPr>
          <w:b/>
          <w:bCs/>
        </w:rPr>
        <w:t>3</w:t>
      </w:r>
      <w:r w:rsidR="00A16DF1" w:rsidRPr="00903DD4">
        <w:rPr>
          <w:b/>
          <w:bCs/>
        </w:rPr>
        <w:t xml:space="preserve">: </w:t>
      </w:r>
      <w:r w:rsidR="00AC2CF8" w:rsidRPr="00903DD4">
        <w:rPr>
          <w:b/>
          <w:bCs/>
          <w:u w:val="single"/>
        </w:rPr>
        <w:t>Legacy</w:t>
      </w:r>
      <w:r w:rsidR="00AC2CF8" w:rsidRPr="00903DD4">
        <w:rPr>
          <w:b/>
          <w:bCs/>
        </w:rPr>
        <w:t xml:space="preserve"> </w:t>
      </w:r>
      <w:r w:rsidR="00A16DF1" w:rsidRPr="00903DD4">
        <w:rPr>
          <w:b/>
          <w:bCs/>
        </w:rPr>
        <w:t xml:space="preserve">UE and </w:t>
      </w:r>
      <w:r w:rsidR="00B33E45" w:rsidRPr="00903DD4">
        <w:rPr>
          <w:b/>
          <w:bCs/>
        </w:rPr>
        <w:t>mobile-IAB-node</w:t>
      </w:r>
      <w:r w:rsidR="00A16DF1" w:rsidRPr="00903DD4">
        <w:rPr>
          <w:b/>
          <w:bCs/>
        </w:rPr>
        <w:t xml:space="preserve"> on </w:t>
      </w:r>
      <w:r w:rsidR="00B33E45" w:rsidRPr="00903DD4">
        <w:rPr>
          <w:b/>
          <w:bCs/>
        </w:rPr>
        <w:t xml:space="preserve">sperate vehicles </w:t>
      </w:r>
      <w:r w:rsidR="00A16DF1" w:rsidRPr="00903DD4">
        <w:rPr>
          <w:b/>
          <w:bCs/>
        </w:rPr>
        <w:t xml:space="preserve">moving </w:t>
      </w:r>
      <w:r w:rsidR="00B33E45" w:rsidRPr="00903DD4">
        <w:rPr>
          <w:b/>
          <w:bCs/>
        </w:rPr>
        <w:t>in parallel at high speed</w:t>
      </w:r>
    </w:p>
    <w:p w14:paraId="35FF802E" w14:textId="13DB1EF1" w:rsidR="00342578" w:rsidRPr="00903DD4" w:rsidRDefault="00B33E45" w:rsidP="002A64CB">
      <w:pPr>
        <w:spacing w:after="0"/>
        <w:ind w:left="432"/>
      </w:pPr>
      <w:r w:rsidRPr="00903DD4">
        <w:t>Same as issue 1 where the</w:t>
      </w:r>
      <w:r w:rsidR="00BB69C4" w:rsidRPr="00903DD4">
        <w:t xml:space="preserve"> UE moves in parallel to the mobile IAB-node but reside</w:t>
      </w:r>
      <w:r w:rsidR="00A16DF1" w:rsidRPr="00903DD4">
        <w:t>s</w:t>
      </w:r>
      <w:r w:rsidR="00BB69C4" w:rsidRPr="00903DD4">
        <w:t xml:space="preserve"> on </w:t>
      </w:r>
      <w:r w:rsidR="00A16DF1" w:rsidRPr="00903DD4">
        <w:t xml:space="preserve">a </w:t>
      </w:r>
      <w:r w:rsidR="00BB69C4" w:rsidRPr="00903DD4">
        <w:t>separate vehicle</w:t>
      </w:r>
      <w:r w:rsidR="00A16DF1" w:rsidRPr="00903DD4">
        <w:t>. This scenario is less likely to occur since parallel mobility, at least at higher speed, usually only occurs for shorter time intervals. Also, the UE could benefit from the mobile IAB-node in this scenario since cell reselection</w:t>
      </w:r>
      <w:r w:rsidR="003F7BB3">
        <w:t>s are</w:t>
      </w:r>
      <w:r w:rsidR="00A16DF1" w:rsidRPr="00903DD4">
        <w:t xml:space="preserve"> reduced </w:t>
      </w:r>
      <w:r w:rsidR="003F7BB3">
        <w:t xml:space="preserve">when the UE camps on the mobile IAB-node cell </w:t>
      </w:r>
      <w:r w:rsidR="00A16DF1" w:rsidRPr="00903DD4">
        <w:t>for the time frame.</w:t>
      </w:r>
    </w:p>
    <w:p w14:paraId="24810562" w14:textId="04B83ACA" w:rsidR="00A16DF1" w:rsidRPr="00903DD4" w:rsidRDefault="00A16DF1" w:rsidP="002A64CB">
      <w:pPr>
        <w:spacing w:after="0"/>
        <w:ind w:left="432"/>
      </w:pPr>
    </w:p>
    <w:p w14:paraId="27D70416" w14:textId="583EADF6" w:rsidR="00B33E45" w:rsidRPr="00903DD4" w:rsidRDefault="002D2415" w:rsidP="002A64CB">
      <w:pPr>
        <w:spacing w:after="0"/>
        <w:ind w:left="432"/>
        <w:rPr>
          <w:b/>
          <w:bCs/>
        </w:rPr>
      </w:pPr>
      <w:r w:rsidRPr="00903DD4">
        <w:rPr>
          <w:b/>
          <w:bCs/>
        </w:rPr>
        <w:t xml:space="preserve">Scenario </w:t>
      </w:r>
      <w:r w:rsidR="00B33E45" w:rsidRPr="00903DD4">
        <w:rPr>
          <w:b/>
          <w:bCs/>
        </w:rPr>
        <w:t xml:space="preserve">4: </w:t>
      </w:r>
      <w:r w:rsidR="00AC2CF8" w:rsidRPr="00903DD4">
        <w:rPr>
          <w:b/>
          <w:bCs/>
          <w:u w:val="single"/>
        </w:rPr>
        <w:t>Legacy</w:t>
      </w:r>
      <w:r w:rsidR="00AC2CF8" w:rsidRPr="00903DD4">
        <w:rPr>
          <w:b/>
          <w:bCs/>
        </w:rPr>
        <w:t xml:space="preserve"> </w:t>
      </w:r>
      <w:r w:rsidR="00B33E45" w:rsidRPr="00903DD4">
        <w:rPr>
          <w:b/>
          <w:bCs/>
        </w:rPr>
        <w:t>UE and mobile-IAB-node on sperate vehicles moving in opposite direction at high speed</w:t>
      </w:r>
    </w:p>
    <w:p w14:paraId="7EC48BAB" w14:textId="2AC32F22" w:rsidR="00B33E45" w:rsidRPr="00903DD4" w:rsidRDefault="00ED07E4" w:rsidP="002A64CB">
      <w:pPr>
        <w:spacing w:after="0"/>
        <w:ind w:left="432"/>
      </w:pPr>
      <w:r w:rsidRPr="00903DD4">
        <w:t xml:space="preserve">This issue is likely to occur. The UE may derive different mobility-states with respect to the stationary network vs. with respect to mobile IAB-nodes. However, the scenario is </w:t>
      </w:r>
      <w:r w:rsidR="003F7BB3">
        <w:t>not</w:t>
      </w:r>
      <w:r w:rsidRPr="00903DD4">
        <w:t xml:space="preserve"> critical since the UE will certainly classify itself to have medium or high-mobility state.</w:t>
      </w:r>
    </w:p>
    <w:p w14:paraId="49A2F2C2" w14:textId="0B47E6A7" w:rsidR="005855AB" w:rsidRPr="00903DD4" w:rsidRDefault="005855AB" w:rsidP="002A64CB">
      <w:pPr>
        <w:spacing w:after="0"/>
        <w:ind w:left="432"/>
      </w:pPr>
    </w:p>
    <w:p w14:paraId="1DDACBA3" w14:textId="7F763BED" w:rsidR="005855AB" w:rsidRPr="00903DD4" w:rsidRDefault="005855AB" w:rsidP="005855AB">
      <w:pPr>
        <w:spacing w:after="0"/>
        <w:ind w:left="432"/>
        <w:rPr>
          <w:b/>
          <w:bCs/>
        </w:rPr>
      </w:pPr>
      <w:r w:rsidRPr="00903DD4">
        <w:rPr>
          <w:b/>
          <w:bCs/>
        </w:rPr>
        <w:t xml:space="preserve">Scenario 5: </w:t>
      </w:r>
      <w:r w:rsidRPr="00903DD4">
        <w:rPr>
          <w:b/>
          <w:bCs/>
          <w:u w:val="single"/>
        </w:rPr>
        <w:t>Legacy</w:t>
      </w:r>
      <w:r w:rsidRPr="00903DD4">
        <w:rPr>
          <w:b/>
          <w:bCs/>
        </w:rPr>
        <w:t xml:space="preserve"> UE not on board; mobile IAB-node at low speed:</w:t>
      </w:r>
    </w:p>
    <w:p w14:paraId="0C821909" w14:textId="2B4704DE" w:rsidR="005855AB" w:rsidRPr="00903DD4" w:rsidRDefault="005855AB" w:rsidP="005855AB">
      <w:pPr>
        <w:spacing w:after="0"/>
        <w:ind w:left="432"/>
      </w:pPr>
      <w:r w:rsidRPr="00903DD4">
        <w:t>The mobile IAB-node cell does not appear any different than a stationary cell. The legacy procedures should work as expected.</w:t>
      </w:r>
    </w:p>
    <w:p w14:paraId="606856E7" w14:textId="77777777" w:rsidR="005855AB" w:rsidRPr="00903DD4" w:rsidRDefault="005855AB" w:rsidP="002A64CB">
      <w:pPr>
        <w:spacing w:after="0"/>
        <w:ind w:left="432"/>
        <w:rPr>
          <w:b/>
          <w:bCs/>
        </w:rPr>
      </w:pPr>
    </w:p>
    <w:p w14:paraId="74B5387B" w14:textId="77777777" w:rsidR="00A16DF1" w:rsidRPr="00903DD4" w:rsidRDefault="00A16DF1" w:rsidP="00342578">
      <w:pPr>
        <w:spacing w:after="0"/>
      </w:pPr>
    </w:p>
    <w:p w14:paraId="302EA34E" w14:textId="30AFB598" w:rsidR="00342578" w:rsidRPr="00903DD4" w:rsidRDefault="00A16DF1" w:rsidP="00A16DF1">
      <w:pPr>
        <w:spacing w:after="0"/>
        <w:rPr>
          <w:b/>
          <w:bCs/>
        </w:rPr>
      </w:pPr>
      <w:r w:rsidRPr="00903DD4">
        <w:rPr>
          <w:b/>
          <w:bCs/>
        </w:rPr>
        <w:t>Observation 3:</w:t>
      </w:r>
      <w:r w:rsidR="00855178" w:rsidRPr="00903DD4">
        <w:rPr>
          <w:b/>
          <w:bCs/>
        </w:rPr>
        <w:t xml:space="preserve"> In presence of IAB-nodes </w:t>
      </w:r>
      <w:r w:rsidR="005166D3">
        <w:rPr>
          <w:b/>
          <w:bCs/>
        </w:rPr>
        <w:t>that move</w:t>
      </w:r>
      <w:r w:rsidR="00855178" w:rsidRPr="00903DD4">
        <w:rPr>
          <w:b/>
          <w:bCs/>
        </w:rPr>
        <w:t xml:space="preserve"> with </w:t>
      </w:r>
      <w:r w:rsidR="005166D3" w:rsidRPr="00903DD4">
        <w:rPr>
          <w:b/>
          <w:bCs/>
        </w:rPr>
        <w:t>significant</w:t>
      </w:r>
      <w:r w:rsidR="00855178" w:rsidRPr="00903DD4">
        <w:rPr>
          <w:b/>
          <w:bCs/>
        </w:rPr>
        <w:t xml:space="preserve"> speed,</w:t>
      </w:r>
      <w:r w:rsidRPr="00903DD4">
        <w:rPr>
          <w:b/>
          <w:bCs/>
        </w:rPr>
        <w:t xml:space="preserve"> </w:t>
      </w:r>
      <w:r w:rsidR="00855178" w:rsidRPr="00903DD4">
        <w:rPr>
          <w:b/>
          <w:bCs/>
        </w:rPr>
        <w:t>t</w:t>
      </w:r>
      <w:r w:rsidRPr="00903DD4">
        <w:rPr>
          <w:b/>
          <w:bCs/>
        </w:rPr>
        <w:t xml:space="preserve">he </w:t>
      </w:r>
      <w:r w:rsidR="00855178" w:rsidRPr="00903DD4">
        <w:rPr>
          <w:b/>
          <w:bCs/>
        </w:rPr>
        <w:t xml:space="preserve">mobile-state </w:t>
      </w:r>
      <w:r w:rsidRPr="00903DD4">
        <w:rPr>
          <w:b/>
          <w:bCs/>
        </w:rPr>
        <w:t xml:space="preserve">measurements by the legacy UE </w:t>
      </w:r>
      <w:r w:rsidR="00855178" w:rsidRPr="00903DD4">
        <w:rPr>
          <w:b/>
          <w:bCs/>
        </w:rPr>
        <w:t>may</w:t>
      </w:r>
      <w:r w:rsidRPr="00903DD4">
        <w:rPr>
          <w:b/>
          <w:bCs/>
        </w:rPr>
        <w:t xml:space="preserve"> </w:t>
      </w:r>
      <w:r w:rsidR="005166D3">
        <w:rPr>
          <w:b/>
          <w:bCs/>
        </w:rPr>
        <w:t>cause</w:t>
      </w:r>
      <w:r w:rsidRPr="00903DD4">
        <w:rPr>
          <w:b/>
          <w:bCs/>
        </w:rPr>
        <w:t xml:space="preserve"> conflicting observations </w:t>
      </w:r>
      <w:r w:rsidR="00855178" w:rsidRPr="00903DD4">
        <w:rPr>
          <w:b/>
          <w:bCs/>
        </w:rPr>
        <w:t xml:space="preserve">leading to </w:t>
      </w:r>
      <w:r w:rsidRPr="00903DD4">
        <w:rPr>
          <w:b/>
          <w:bCs/>
        </w:rPr>
        <w:t>sub-optimal mobil</w:t>
      </w:r>
      <w:r w:rsidR="00855178" w:rsidRPr="00903DD4">
        <w:rPr>
          <w:b/>
          <w:bCs/>
        </w:rPr>
        <w:t>ity</w:t>
      </w:r>
      <w:r w:rsidRPr="00903DD4">
        <w:rPr>
          <w:b/>
          <w:bCs/>
        </w:rPr>
        <w:t>-state classifications.</w:t>
      </w:r>
    </w:p>
    <w:p w14:paraId="48950D77" w14:textId="77777777" w:rsidR="00855178" w:rsidRPr="00903DD4" w:rsidRDefault="00855178" w:rsidP="00855178">
      <w:pPr>
        <w:spacing w:after="0"/>
        <w:rPr>
          <w:u w:val="single"/>
        </w:rPr>
      </w:pPr>
    </w:p>
    <w:p w14:paraId="0514F7C9" w14:textId="630A5A4D" w:rsidR="002A64CB" w:rsidRPr="00903DD4" w:rsidRDefault="002A64CB" w:rsidP="00855178">
      <w:pPr>
        <w:spacing w:after="0"/>
      </w:pPr>
      <w:r w:rsidRPr="00903DD4">
        <w:rPr>
          <w:b/>
          <w:bCs/>
        </w:rPr>
        <w:t>Analysis for Rel-18 UE receiving “mobile</w:t>
      </w:r>
      <w:r w:rsidR="005855AB" w:rsidRPr="00903DD4">
        <w:rPr>
          <w:b/>
          <w:bCs/>
        </w:rPr>
        <w:t>-</w:t>
      </w:r>
      <w:r w:rsidRPr="00903DD4">
        <w:rPr>
          <w:b/>
          <w:bCs/>
        </w:rPr>
        <w:t>IAB</w:t>
      </w:r>
      <w:r w:rsidR="009A4136">
        <w:rPr>
          <w:b/>
          <w:bCs/>
        </w:rPr>
        <w:t>”</w:t>
      </w:r>
      <w:r w:rsidRPr="00903DD4">
        <w:rPr>
          <w:b/>
          <w:bCs/>
        </w:rPr>
        <w:t xml:space="preserve"> status broadcast from mobile IAB-node cells:</w:t>
      </w:r>
    </w:p>
    <w:p w14:paraId="15FD7853" w14:textId="77777777" w:rsidR="00AC2CF8" w:rsidRPr="00903DD4" w:rsidRDefault="00AC2CF8" w:rsidP="002A64CB">
      <w:pPr>
        <w:spacing w:after="0"/>
        <w:ind w:left="432"/>
        <w:rPr>
          <w:u w:val="single"/>
        </w:rPr>
      </w:pPr>
    </w:p>
    <w:p w14:paraId="11AB1755" w14:textId="6BAADE3C" w:rsidR="00851218" w:rsidRDefault="006D26EE" w:rsidP="002A64CB">
      <w:pPr>
        <w:spacing w:after="0"/>
        <w:ind w:left="432"/>
        <w:rPr>
          <w:b/>
          <w:bCs/>
        </w:rPr>
      </w:pPr>
      <w:r w:rsidRPr="00903DD4">
        <w:rPr>
          <w:b/>
          <w:bCs/>
        </w:rPr>
        <w:t xml:space="preserve">Scenario 1: </w:t>
      </w:r>
      <w:r w:rsidRPr="00903DD4">
        <w:rPr>
          <w:b/>
          <w:bCs/>
          <w:u w:val="single"/>
        </w:rPr>
        <w:t>Rel-18</w:t>
      </w:r>
      <w:r w:rsidRPr="00903DD4">
        <w:rPr>
          <w:b/>
          <w:bCs/>
        </w:rPr>
        <w:t xml:space="preserve"> UE and mobile IAB-node at high speed on same vehicle</w:t>
      </w:r>
    </w:p>
    <w:p w14:paraId="1002EF43" w14:textId="5FBB184A" w:rsidR="00AC2CF8" w:rsidRPr="00903DD4" w:rsidRDefault="00335990" w:rsidP="002A64CB">
      <w:pPr>
        <w:spacing w:after="0"/>
        <w:ind w:left="432"/>
      </w:pPr>
      <w:r w:rsidRPr="00903DD4">
        <w:t xml:space="preserve">The UE can observe that </w:t>
      </w:r>
      <w:r w:rsidR="004A087E">
        <w:t>has</w:t>
      </w:r>
      <w:r w:rsidR="00FF122E">
        <w:t xml:space="preserve"> </w:t>
      </w:r>
      <w:r w:rsidR="004A087E">
        <w:t>slow</w:t>
      </w:r>
      <w:r w:rsidR="00FF122E">
        <w:t xml:space="preserve"> speed with respect to </w:t>
      </w:r>
      <w:r w:rsidR="004A087E">
        <w:t>a</w:t>
      </w:r>
      <w:r w:rsidR="00FF122E">
        <w:t xml:space="preserve"> mobile IAB-node cell</w:t>
      </w:r>
      <w:r w:rsidRPr="00903DD4">
        <w:t>, but that it is moving with significant speed with respect to the stationary network.</w:t>
      </w:r>
      <w:r w:rsidR="00FF122E">
        <w:t xml:space="preserve"> From this, i</w:t>
      </w:r>
      <w:r w:rsidRPr="00903DD4">
        <w:t xml:space="preserve">t can infer </w:t>
      </w:r>
      <w:r w:rsidR="00FF122E">
        <w:t>t</w:t>
      </w:r>
      <w:r w:rsidRPr="00903DD4">
        <w:t>hat it is onboard of a vehicle together with a mobile IAB-node</w:t>
      </w:r>
      <w:r w:rsidR="00FF122E">
        <w:t>,</w:t>
      </w:r>
      <w:r w:rsidRPr="00903DD4">
        <w:t xml:space="preserve"> or </w:t>
      </w:r>
      <w:r w:rsidR="00FF122E">
        <w:t xml:space="preserve">that it is </w:t>
      </w:r>
      <w:r w:rsidRPr="00903DD4">
        <w:t xml:space="preserve">at least moving in parallel to </w:t>
      </w:r>
      <w:r w:rsidR="00FF122E">
        <w:t>a</w:t>
      </w:r>
      <w:r w:rsidRPr="00903DD4">
        <w:t xml:space="preserve"> mobile IAB-node. Based on this observation, it can </w:t>
      </w:r>
      <w:r w:rsidR="00FF122E">
        <w:t>(re-)</w:t>
      </w:r>
      <w:r w:rsidRPr="00903DD4">
        <w:t>select the mobile IAB-node’s cell and enter slow-mobility state.</w:t>
      </w:r>
    </w:p>
    <w:p w14:paraId="5BA196A9" w14:textId="77777777" w:rsidR="00AC2CF8" w:rsidRPr="00903DD4" w:rsidRDefault="00AC2CF8" w:rsidP="002A64CB">
      <w:pPr>
        <w:spacing w:after="0"/>
        <w:ind w:left="432"/>
      </w:pPr>
    </w:p>
    <w:p w14:paraId="696D3804" w14:textId="6C7FA988" w:rsidR="006D26EE" w:rsidRPr="00903DD4" w:rsidRDefault="006D26EE" w:rsidP="002A64CB">
      <w:pPr>
        <w:spacing w:after="0"/>
        <w:ind w:left="432"/>
        <w:rPr>
          <w:b/>
          <w:bCs/>
        </w:rPr>
      </w:pPr>
      <w:r w:rsidRPr="00903DD4">
        <w:rPr>
          <w:b/>
          <w:bCs/>
        </w:rPr>
        <w:t xml:space="preserve">Scenario 2: </w:t>
      </w:r>
      <w:r w:rsidRPr="00903DD4">
        <w:rPr>
          <w:b/>
          <w:bCs/>
          <w:u w:val="single"/>
        </w:rPr>
        <w:t>Rel-18</w:t>
      </w:r>
      <w:r w:rsidRPr="00903DD4">
        <w:rPr>
          <w:b/>
          <w:bCs/>
        </w:rPr>
        <w:t xml:space="preserve"> UE is slow and mobile IAB-nodes passes at high speed</w:t>
      </w:r>
    </w:p>
    <w:p w14:paraId="49FCD171" w14:textId="17DEE9CA" w:rsidR="00AC2CF8" w:rsidRPr="00903DD4" w:rsidRDefault="00335990" w:rsidP="002A64CB">
      <w:pPr>
        <w:spacing w:after="0"/>
        <w:ind w:left="432"/>
      </w:pPr>
      <w:r w:rsidRPr="00903DD4">
        <w:lastRenderedPageBreak/>
        <w:t>The UE can observe that it is not moving with respect to the stationary network, but that it has high relative speed with respect to mobile IAB-nodes. Based on this observation, it can select a stationary cell and enter slow-mobility state.</w:t>
      </w:r>
      <w:r w:rsidR="00AC2CF8" w:rsidRPr="00903DD4">
        <w:t xml:space="preserve"> </w:t>
      </w:r>
    </w:p>
    <w:p w14:paraId="02FBC781" w14:textId="77777777" w:rsidR="00AC2CF8" w:rsidRPr="00903DD4" w:rsidRDefault="00AC2CF8" w:rsidP="002A64CB">
      <w:pPr>
        <w:spacing w:after="0"/>
        <w:ind w:left="432"/>
      </w:pPr>
    </w:p>
    <w:p w14:paraId="24FC8AAC" w14:textId="67002ECD" w:rsidR="006D26EE" w:rsidRPr="00903DD4" w:rsidRDefault="006D26EE" w:rsidP="002A64CB">
      <w:pPr>
        <w:spacing w:after="0"/>
        <w:ind w:left="432"/>
        <w:rPr>
          <w:b/>
          <w:bCs/>
        </w:rPr>
      </w:pPr>
      <w:r w:rsidRPr="00903DD4">
        <w:rPr>
          <w:b/>
          <w:bCs/>
        </w:rPr>
        <w:t xml:space="preserve">Scenario 3: </w:t>
      </w:r>
      <w:r w:rsidRPr="00903DD4">
        <w:rPr>
          <w:b/>
          <w:bCs/>
          <w:u w:val="single"/>
        </w:rPr>
        <w:t>Rel-18</w:t>
      </w:r>
      <w:r w:rsidRPr="00903DD4">
        <w:rPr>
          <w:b/>
          <w:bCs/>
        </w:rPr>
        <w:t xml:space="preserve"> UE and mobile-IAB-node on sperate vehicles moving in parallel at high speed</w:t>
      </w:r>
    </w:p>
    <w:p w14:paraId="667EE532" w14:textId="647FBCDC" w:rsidR="00AC2CF8" w:rsidRPr="00903DD4" w:rsidRDefault="00335990" w:rsidP="002A64CB">
      <w:pPr>
        <w:spacing w:after="0"/>
        <w:ind w:left="432"/>
      </w:pPr>
      <w:r w:rsidRPr="00903DD4">
        <w:t xml:space="preserve">As in issue 1, the UE </w:t>
      </w:r>
      <w:r w:rsidR="00BF2DF0">
        <w:t>can</w:t>
      </w:r>
      <w:r w:rsidRPr="00903DD4">
        <w:t xml:space="preserve"> </w:t>
      </w:r>
      <w:r w:rsidR="00034D12">
        <w:t>re</w:t>
      </w:r>
      <w:r w:rsidRPr="00903DD4">
        <w:t xml:space="preserve">select the mobile IAB-node cell and </w:t>
      </w:r>
      <w:r w:rsidR="00A57AD8" w:rsidRPr="00903DD4">
        <w:t>enter slow-mobility state. In case UE and mobile IAB-node paths diverge, the UE will select a stationary network cell</w:t>
      </w:r>
      <w:r w:rsidR="00AC2CF8" w:rsidRPr="00903DD4">
        <w:t>.</w:t>
      </w:r>
      <w:r w:rsidR="00A57AD8" w:rsidRPr="00903DD4">
        <w:t xml:space="preserve"> Selecting the mobile IAB-node cell over the stationary cell will </w:t>
      </w:r>
      <w:r w:rsidR="00BF2DF0">
        <w:t>still be beneficial since it</w:t>
      </w:r>
      <w:r w:rsidR="00A57AD8" w:rsidRPr="00903DD4">
        <w:t xml:space="preserve"> reduce</w:t>
      </w:r>
      <w:r w:rsidR="00BF2DF0">
        <w:t>s</w:t>
      </w:r>
      <w:r w:rsidR="00A57AD8" w:rsidRPr="00903DD4">
        <w:t xml:space="preserve"> rather than increase</w:t>
      </w:r>
      <w:r w:rsidR="00BF2DF0">
        <w:t>s</w:t>
      </w:r>
      <w:r w:rsidR="00A57AD8" w:rsidRPr="00903DD4">
        <w:t xml:space="preserve"> cell reselections.</w:t>
      </w:r>
    </w:p>
    <w:p w14:paraId="2D2B9FB5" w14:textId="77777777" w:rsidR="00AC2CF8" w:rsidRPr="00903DD4" w:rsidRDefault="00AC2CF8" w:rsidP="002A64CB">
      <w:pPr>
        <w:spacing w:after="0"/>
        <w:ind w:left="432"/>
      </w:pPr>
    </w:p>
    <w:p w14:paraId="2109B581" w14:textId="137D1D64" w:rsidR="006D26EE" w:rsidRPr="00903DD4" w:rsidRDefault="006D26EE" w:rsidP="002A64CB">
      <w:pPr>
        <w:spacing w:after="0"/>
        <w:ind w:left="432"/>
        <w:rPr>
          <w:b/>
          <w:bCs/>
        </w:rPr>
      </w:pPr>
      <w:r w:rsidRPr="00903DD4">
        <w:rPr>
          <w:b/>
          <w:bCs/>
        </w:rPr>
        <w:t xml:space="preserve">Scenario 4: </w:t>
      </w:r>
      <w:r w:rsidRPr="00903DD4">
        <w:rPr>
          <w:b/>
          <w:bCs/>
          <w:u w:val="single"/>
        </w:rPr>
        <w:t>Rel-18</w:t>
      </w:r>
      <w:r w:rsidRPr="00903DD4">
        <w:rPr>
          <w:b/>
          <w:bCs/>
        </w:rPr>
        <w:t xml:space="preserve"> UE and mobile-IAB-node on sperate vehicles moving in opposite direction at high speed</w:t>
      </w:r>
    </w:p>
    <w:p w14:paraId="333F3088" w14:textId="41DD3429" w:rsidR="00AC2CF8" w:rsidRPr="00903DD4" w:rsidRDefault="00A57AD8" w:rsidP="002A64CB">
      <w:pPr>
        <w:spacing w:after="0"/>
        <w:ind w:left="432"/>
      </w:pPr>
      <w:r w:rsidRPr="00903DD4">
        <w:t>The UE observes that it moves at significant speed with respect to stationary network and mobile IAB-nodes. There is no significant benefit to be expected from a mobile IAB status broadcast.</w:t>
      </w:r>
    </w:p>
    <w:p w14:paraId="6A242B6F" w14:textId="08A32E93" w:rsidR="005855AB" w:rsidRPr="00903DD4" w:rsidRDefault="005855AB" w:rsidP="002A64CB">
      <w:pPr>
        <w:spacing w:after="0"/>
        <w:ind w:left="432"/>
      </w:pPr>
    </w:p>
    <w:p w14:paraId="30860489" w14:textId="10D63107" w:rsidR="005855AB" w:rsidRPr="00903DD4" w:rsidRDefault="005855AB" w:rsidP="005855AB">
      <w:pPr>
        <w:spacing w:after="0"/>
        <w:ind w:firstLine="432"/>
        <w:rPr>
          <w:b/>
          <w:bCs/>
        </w:rPr>
      </w:pPr>
      <w:r w:rsidRPr="00903DD4">
        <w:rPr>
          <w:b/>
          <w:bCs/>
        </w:rPr>
        <w:t xml:space="preserve">Scenario 5: </w:t>
      </w:r>
      <w:r w:rsidRPr="00903DD4">
        <w:rPr>
          <w:b/>
          <w:bCs/>
          <w:u w:val="single"/>
        </w:rPr>
        <w:t>Rel-18</w:t>
      </w:r>
      <w:r w:rsidRPr="00903DD4">
        <w:rPr>
          <w:b/>
          <w:bCs/>
        </w:rPr>
        <w:t xml:space="preserve"> UE not on board; mobile IAB-node at low speed:</w:t>
      </w:r>
    </w:p>
    <w:p w14:paraId="3393FA7D" w14:textId="356DD063" w:rsidR="005855AB" w:rsidRPr="00903DD4" w:rsidRDefault="005855AB" w:rsidP="005855AB">
      <w:pPr>
        <w:spacing w:after="0"/>
        <w:ind w:left="432"/>
      </w:pPr>
      <w:r w:rsidRPr="00903DD4">
        <w:t>The mobile IAB-node cell does not appear any different than a stationary cell. The legacy procedures should work as expected. The “mobile IAB” status broadcast does not do any damage.</w:t>
      </w:r>
    </w:p>
    <w:p w14:paraId="2068B7F0" w14:textId="4EFD6E84" w:rsidR="005855AB" w:rsidRPr="00903DD4" w:rsidRDefault="005855AB" w:rsidP="005855AB">
      <w:pPr>
        <w:spacing w:after="0"/>
        <w:ind w:firstLine="432"/>
      </w:pPr>
    </w:p>
    <w:p w14:paraId="773E6A6E" w14:textId="77777777" w:rsidR="005855AB" w:rsidRPr="00903DD4" w:rsidRDefault="005855AB" w:rsidP="002A64CB">
      <w:pPr>
        <w:spacing w:after="0"/>
        <w:ind w:left="432"/>
      </w:pPr>
    </w:p>
    <w:p w14:paraId="6584D51A" w14:textId="70B01308" w:rsidR="002A64CB" w:rsidRPr="00903DD4" w:rsidRDefault="002A64CB" w:rsidP="002A64CB">
      <w:pPr>
        <w:spacing w:after="0"/>
      </w:pPr>
      <w:r w:rsidRPr="00903DD4">
        <w:t xml:space="preserve">In case the mobile IAB-node cell broadcasts </w:t>
      </w:r>
      <w:r w:rsidR="005855AB" w:rsidRPr="00903DD4">
        <w:t>the “mobile-IAB</w:t>
      </w:r>
      <w:r w:rsidR="004F51B8">
        <w:t>”</w:t>
      </w:r>
      <w:r w:rsidRPr="00903DD4">
        <w:t xml:space="preserve"> status (i.e., being a mobile IAB-node), the Rel-18 can do a better analysis about its absolute speed as well as it</w:t>
      </w:r>
      <w:r w:rsidR="004F51B8">
        <w:t>s</w:t>
      </w:r>
      <w:r w:rsidRPr="00903DD4">
        <w:t xml:space="preserve"> relative mobility with respect to the mobile IAB-node. </w:t>
      </w:r>
    </w:p>
    <w:p w14:paraId="3AC58227" w14:textId="77777777" w:rsidR="005855AB" w:rsidRPr="00903DD4" w:rsidRDefault="005855AB" w:rsidP="002A64CB">
      <w:pPr>
        <w:spacing w:after="0"/>
      </w:pPr>
    </w:p>
    <w:p w14:paraId="49583938" w14:textId="35630B4A" w:rsidR="00A57AD8" w:rsidRPr="00903DD4" w:rsidRDefault="00A57AD8" w:rsidP="00A57AD8">
      <w:pPr>
        <w:spacing w:after="0"/>
        <w:rPr>
          <w:b/>
          <w:bCs/>
        </w:rPr>
      </w:pPr>
      <w:r w:rsidRPr="00903DD4">
        <w:rPr>
          <w:b/>
          <w:bCs/>
        </w:rPr>
        <w:t xml:space="preserve">Observation 4: In presence of IAB-nodes moving with significant speed, the Rel-18 UE </w:t>
      </w:r>
      <w:r w:rsidR="002A64CB" w:rsidRPr="00903DD4">
        <w:rPr>
          <w:b/>
          <w:bCs/>
        </w:rPr>
        <w:t>can</w:t>
      </w:r>
      <w:r w:rsidRPr="00903DD4">
        <w:rPr>
          <w:b/>
          <w:bCs/>
        </w:rPr>
        <w:t xml:space="preserve"> </w:t>
      </w:r>
      <w:r w:rsidR="002A64CB" w:rsidRPr="00903DD4">
        <w:rPr>
          <w:b/>
          <w:bCs/>
        </w:rPr>
        <w:t xml:space="preserve">make </w:t>
      </w:r>
      <w:r w:rsidRPr="00903DD4">
        <w:rPr>
          <w:b/>
          <w:bCs/>
        </w:rPr>
        <w:t xml:space="preserve">more accurate mobility-state observations with respect to its absolute speed </w:t>
      </w:r>
      <w:r w:rsidR="004F51B8">
        <w:rPr>
          <w:b/>
          <w:bCs/>
        </w:rPr>
        <w:t>as well as its</w:t>
      </w:r>
      <w:r w:rsidRPr="00903DD4">
        <w:rPr>
          <w:b/>
          <w:bCs/>
        </w:rPr>
        <w:t xml:space="preserve"> relative speed with respect to a mobile IAB-node.</w:t>
      </w:r>
    </w:p>
    <w:p w14:paraId="754DBA20" w14:textId="53DCC544" w:rsidR="00A57AD8" w:rsidRPr="00903DD4" w:rsidRDefault="00A57AD8" w:rsidP="00A57AD8">
      <w:pPr>
        <w:spacing w:after="0"/>
        <w:rPr>
          <w:b/>
          <w:bCs/>
        </w:rPr>
      </w:pPr>
      <w:r w:rsidRPr="00903DD4">
        <w:rPr>
          <w:b/>
          <w:bCs/>
        </w:rPr>
        <w:br/>
      </w:r>
    </w:p>
    <w:p w14:paraId="3B8473AD" w14:textId="6C1BE887" w:rsidR="00A57AD8" w:rsidRPr="00903DD4" w:rsidRDefault="00A57AD8" w:rsidP="00A57AD8">
      <w:pPr>
        <w:spacing w:after="0"/>
        <w:rPr>
          <w:b/>
          <w:bCs/>
        </w:rPr>
      </w:pPr>
      <w:r w:rsidRPr="00903DD4">
        <w:rPr>
          <w:b/>
          <w:bCs/>
        </w:rPr>
        <w:t xml:space="preserve">Proposal 1: The </w:t>
      </w:r>
      <w:r w:rsidR="002A64CB" w:rsidRPr="00903DD4">
        <w:rPr>
          <w:b/>
          <w:bCs/>
        </w:rPr>
        <w:t>mobile IAB-node cell to broadcast a “mobile-IAB</w:t>
      </w:r>
      <w:r w:rsidR="008A506B">
        <w:rPr>
          <w:b/>
          <w:bCs/>
        </w:rPr>
        <w:t xml:space="preserve">” </w:t>
      </w:r>
      <w:r w:rsidR="002A64CB" w:rsidRPr="00903DD4">
        <w:rPr>
          <w:b/>
          <w:bCs/>
        </w:rPr>
        <w:t>status indicator.</w:t>
      </w:r>
    </w:p>
    <w:p w14:paraId="2D0ED714" w14:textId="3C6C0CB4" w:rsidR="00A16DF1" w:rsidRPr="00903DD4" w:rsidRDefault="00A16DF1" w:rsidP="00A16DF1">
      <w:pPr>
        <w:pStyle w:val="Doc-text2"/>
        <w:rPr>
          <w:szCs w:val="20"/>
          <w:lang w:eastAsia="zh-CN"/>
        </w:rPr>
      </w:pPr>
    </w:p>
    <w:p w14:paraId="1830312E" w14:textId="507CE1EF" w:rsidR="00A16DF1" w:rsidRDefault="00A16DF1" w:rsidP="00A16DF1">
      <w:pPr>
        <w:pStyle w:val="Doc-text2"/>
        <w:rPr>
          <w:lang w:eastAsia="zh-CN"/>
        </w:rPr>
      </w:pPr>
    </w:p>
    <w:p w14:paraId="4E8F72FB" w14:textId="24B85FC2" w:rsidR="00AD4D8C" w:rsidRDefault="00AD4D8C" w:rsidP="00AD4D8C">
      <w:pPr>
        <w:pStyle w:val="Heading2"/>
      </w:pPr>
      <w:r>
        <w:t>2.2</w:t>
      </w:r>
      <w:r>
        <w:tab/>
        <w:t>Transmission of mobile</w:t>
      </w:r>
      <w:r w:rsidR="00A25F51">
        <w:t>-</w:t>
      </w:r>
      <w:r>
        <w:t>IAB indication to network</w:t>
      </w:r>
    </w:p>
    <w:p w14:paraId="4F8E46F7" w14:textId="5AD96114" w:rsidR="007C3413" w:rsidRDefault="008A130F" w:rsidP="00AD4D8C">
      <w:r>
        <w:t xml:space="preserve">RAN3 agreed that the network should know that about the mobile IAB-node’s </w:t>
      </w:r>
      <w:r w:rsidR="00A25F51">
        <w:t>status</w:t>
      </w:r>
      <w:r>
        <w:t xml:space="preserve">. </w:t>
      </w:r>
      <w:r w:rsidR="007C3413">
        <w:t>With the knowledge of the mobile IAB-node’s status, the network can:</w:t>
      </w:r>
    </w:p>
    <w:p w14:paraId="5346FB52" w14:textId="242CFC08" w:rsidR="00D16129" w:rsidRDefault="00D16129" w:rsidP="00D16129">
      <w:pPr>
        <w:pStyle w:val="ListParagraph"/>
        <w:numPr>
          <w:ilvl w:val="0"/>
          <w:numId w:val="37"/>
        </w:numPr>
        <w:contextualSpacing w:val="0"/>
      </w:pPr>
      <w:r>
        <w:t>Become alerted that the neighbour relations may change for the mobile IAB-node cells.</w:t>
      </w:r>
    </w:p>
    <w:p w14:paraId="4E79C86C" w14:textId="444BC275" w:rsidR="00D16129" w:rsidRDefault="00D16129" w:rsidP="00D16129">
      <w:pPr>
        <w:pStyle w:val="ListParagraph"/>
        <w:numPr>
          <w:ilvl w:val="0"/>
          <w:numId w:val="37"/>
        </w:numPr>
        <w:contextualSpacing w:val="0"/>
      </w:pPr>
      <w:r>
        <w:t>Become alerted to potentially necessary topology adaptation procedures this IAB-node.</w:t>
      </w:r>
    </w:p>
    <w:p w14:paraId="3ADB822D" w14:textId="3E5E9B54" w:rsidR="007C3413" w:rsidRDefault="007C3413" w:rsidP="00D16129">
      <w:pPr>
        <w:pStyle w:val="ListParagraph"/>
        <w:numPr>
          <w:ilvl w:val="0"/>
          <w:numId w:val="37"/>
        </w:numPr>
        <w:contextualSpacing w:val="0"/>
      </w:pPr>
      <w:r>
        <w:t>Appl</w:t>
      </w:r>
      <w:r w:rsidR="00D16129">
        <w:t>y</w:t>
      </w:r>
      <w:r>
        <w:t xml:space="preserve"> MDT procedures or positioning procedures to follow the mobile IAB-node’s trajectory.</w:t>
      </w:r>
    </w:p>
    <w:p w14:paraId="3F7E0A5C" w14:textId="77777777" w:rsidR="00D16129" w:rsidRDefault="00D16129" w:rsidP="00D16129">
      <w:pPr>
        <w:pStyle w:val="ListParagraph"/>
        <w:numPr>
          <w:ilvl w:val="0"/>
          <w:numId w:val="37"/>
        </w:numPr>
        <w:contextualSpacing w:val="0"/>
      </w:pPr>
      <w:r>
        <w:t>Store IAB-node mobility information to predict the IAB-node’s mobile trajectory in the future.</w:t>
      </w:r>
    </w:p>
    <w:p w14:paraId="109B34B2" w14:textId="6E5737D5" w:rsidR="00D16129" w:rsidRDefault="00D16129" w:rsidP="00D16129">
      <w:pPr>
        <w:pStyle w:val="ListParagraph"/>
        <w:numPr>
          <w:ilvl w:val="0"/>
          <w:numId w:val="37"/>
        </w:numPr>
        <w:contextualSpacing w:val="0"/>
      </w:pPr>
      <w:r>
        <w:t>Conduct more informed UE handover decisions from/to the mobile the IAB-node that may, for instance, include information on the UE’s and/or the IAB-node’s speed or position.</w:t>
      </w:r>
    </w:p>
    <w:p w14:paraId="2305DAD2" w14:textId="4CE6F22A" w:rsidR="009F59CE" w:rsidRDefault="009F59CE" w:rsidP="00D16129">
      <w:pPr>
        <w:pStyle w:val="ListParagraph"/>
        <w:numPr>
          <w:ilvl w:val="0"/>
          <w:numId w:val="37"/>
        </w:numPr>
        <w:contextualSpacing w:val="0"/>
      </w:pPr>
      <w:r>
        <w:t xml:space="preserve">Apply optimizations to inter-donor IAB-DU migration, e.g., configure CHO for UEs connecting to the mobile IAB-node to facilitate faster migration and lower interruption times. </w:t>
      </w:r>
    </w:p>
    <w:p w14:paraId="1C21D9B5" w14:textId="5A94EEEE" w:rsidR="00D16129" w:rsidRDefault="00D16129" w:rsidP="00D16129">
      <w:pPr>
        <w:pStyle w:val="ListParagraph"/>
        <w:numPr>
          <w:ilvl w:val="0"/>
          <w:numId w:val="37"/>
        </w:numPr>
        <w:contextualSpacing w:val="0"/>
      </w:pPr>
      <w:r>
        <w:t>Others</w:t>
      </w:r>
    </w:p>
    <w:p w14:paraId="493EB2A3" w14:textId="46A9C32E" w:rsidR="00A25F51" w:rsidRPr="00A25F51" w:rsidRDefault="00A25F51" w:rsidP="00A25F51">
      <w:pPr>
        <w:rPr>
          <w:b/>
          <w:bCs/>
        </w:rPr>
      </w:pPr>
      <w:r w:rsidRPr="00A25F51">
        <w:rPr>
          <w:b/>
          <w:bCs/>
        </w:rPr>
        <w:t xml:space="preserve">Observation 5: There are many benefits for the </w:t>
      </w:r>
      <w:r w:rsidR="00946A16">
        <w:rPr>
          <w:b/>
          <w:bCs/>
        </w:rPr>
        <w:t>IAB-donor</w:t>
      </w:r>
      <w:r w:rsidRPr="00A25F51">
        <w:rPr>
          <w:b/>
          <w:bCs/>
        </w:rPr>
        <w:t xml:space="preserve"> to obtain the </w:t>
      </w:r>
      <w:r w:rsidR="007478F0">
        <w:rPr>
          <w:b/>
          <w:bCs/>
        </w:rPr>
        <w:t>“</w:t>
      </w:r>
      <w:r w:rsidRPr="00A25F51">
        <w:rPr>
          <w:b/>
          <w:bCs/>
        </w:rPr>
        <w:t>mobile-IAB</w:t>
      </w:r>
      <w:r w:rsidR="007478F0">
        <w:rPr>
          <w:b/>
          <w:bCs/>
        </w:rPr>
        <w:t>” status</w:t>
      </w:r>
      <w:r w:rsidRPr="00A25F51">
        <w:rPr>
          <w:b/>
          <w:bCs/>
        </w:rPr>
        <w:t xml:space="preserve"> indication </w:t>
      </w:r>
    </w:p>
    <w:p w14:paraId="21D9EDB8" w14:textId="77777777" w:rsidR="00946A16" w:rsidRDefault="00A25F51" w:rsidP="00D16129">
      <w:r>
        <w:t xml:space="preserve">RAN3 agreed that the mobile IAB-node can perform multiple partial migrations in sequence. </w:t>
      </w:r>
      <w:r w:rsidR="00946A16">
        <w:t xml:space="preserve">RAN3 further hasn’t yet decided if the IAB-DU can be migrated before the IAB-MT. In either case, </w:t>
      </w:r>
      <w:r>
        <w:t>The IAB-MT and IAB-DU may therefore connect to different IAB-donors</w:t>
      </w:r>
      <w:r w:rsidR="00946A16">
        <w:t>.</w:t>
      </w:r>
    </w:p>
    <w:p w14:paraId="07E94E87" w14:textId="036C4BED" w:rsidR="00946A16" w:rsidRDefault="00946A16" w:rsidP="00D16129">
      <w:r>
        <w:t xml:space="preserve">For some functionality, e.g., </w:t>
      </w:r>
      <w:r w:rsidR="009F59CE">
        <w:t>configuring</w:t>
      </w:r>
      <w:r>
        <w:t xml:space="preserve"> MDT and positional procedures as well as </w:t>
      </w:r>
      <w:r w:rsidR="009F59CE">
        <w:t>performing</w:t>
      </w:r>
      <w:r>
        <w:t xml:space="preserve"> topology adaptation procedures, it is the mobile IAB-MT’s IAB-donor-CU that needs to be aware of the mobile-IAB status. For other functionality, e.g., UE handover decisions from/to the mobile IAB-node</w:t>
      </w:r>
      <w:r w:rsidR="009F59CE">
        <w:t xml:space="preserve"> or configuring CHO for UEs connected to the mobile IAB-DU</w:t>
      </w:r>
      <w:r>
        <w:t>, it is the IAB-DU’s IAB-donor-CU that needs to be aware of the mobile-IAB status. Consequently, both IAB-donors need to be informed about the IAB-nodes “mobile-IAB” status.</w:t>
      </w:r>
    </w:p>
    <w:p w14:paraId="77B67BCB" w14:textId="0DFC0995" w:rsidR="00946A16" w:rsidRDefault="00946A16" w:rsidP="00946A16">
      <w:pPr>
        <w:rPr>
          <w:b/>
          <w:bCs/>
        </w:rPr>
      </w:pPr>
      <w:r w:rsidRPr="00A25F51">
        <w:rPr>
          <w:b/>
          <w:bCs/>
        </w:rPr>
        <w:lastRenderedPageBreak/>
        <w:t xml:space="preserve">Observation </w:t>
      </w:r>
      <w:r>
        <w:rPr>
          <w:b/>
          <w:bCs/>
        </w:rPr>
        <w:t>6</w:t>
      </w:r>
      <w:r w:rsidRPr="00A25F51">
        <w:rPr>
          <w:b/>
          <w:bCs/>
        </w:rPr>
        <w:t xml:space="preserve">: </w:t>
      </w:r>
      <w:r>
        <w:rPr>
          <w:b/>
          <w:bCs/>
        </w:rPr>
        <w:t>Since the IAB-MT may connect to a different IAB-donor than the co-located IAB-DU, both IAB-donors need to be aware of the IAB-node’s “mobile-IAB” status.</w:t>
      </w:r>
    </w:p>
    <w:p w14:paraId="70152DE3" w14:textId="63C39B40" w:rsidR="00946A16" w:rsidRDefault="00946A16" w:rsidP="00946A16">
      <w:pPr>
        <w:rPr>
          <w:b/>
          <w:bCs/>
        </w:rPr>
      </w:pPr>
      <w:r>
        <w:rPr>
          <w:b/>
          <w:bCs/>
        </w:rPr>
        <w:t xml:space="preserve">Proposal 2a: </w:t>
      </w:r>
      <w:r w:rsidR="004F76F3">
        <w:rPr>
          <w:b/>
          <w:bCs/>
        </w:rPr>
        <w:t>RAN2 confirms that t</w:t>
      </w:r>
      <w:r>
        <w:rPr>
          <w:b/>
          <w:bCs/>
        </w:rPr>
        <w:t xml:space="preserve">he “mobile-IAB” status to be indicated to the IAB-node’s donor-CU. </w:t>
      </w:r>
    </w:p>
    <w:p w14:paraId="005A920D" w14:textId="6DDD39F5" w:rsidR="00946A16" w:rsidRDefault="00946A16" w:rsidP="00946A16">
      <w:pPr>
        <w:rPr>
          <w:b/>
          <w:bCs/>
        </w:rPr>
      </w:pPr>
      <w:r>
        <w:rPr>
          <w:b/>
          <w:bCs/>
        </w:rPr>
        <w:t xml:space="preserve">Proposal 2b: In case IAB-DU and IAB-MT connect to separate IAB-donor-CUs, they both need to be informed about the </w:t>
      </w:r>
      <w:r w:rsidR="007317F6">
        <w:rPr>
          <w:b/>
          <w:bCs/>
        </w:rPr>
        <w:t xml:space="preserve">IAB-node’s </w:t>
      </w:r>
      <w:r>
        <w:rPr>
          <w:b/>
          <w:bCs/>
        </w:rPr>
        <w:t xml:space="preserve">“mobile IAB” status. </w:t>
      </w:r>
    </w:p>
    <w:p w14:paraId="706DFE26" w14:textId="77777777" w:rsidR="00771E2F" w:rsidRPr="00A25F51" w:rsidRDefault="00771E2F" w:rsidP="00946A16">
      <w:pPr>
        <w:rPr>
          <w:b/>
          <w:bCs/>
        </w:rPr>
      </w:pPr>
    </w:p>
    <w:p w14:paraId="2569E950" w14:textId="7B139533" w:rsidR="00771E2F" w:rsidRDefault="00771E2F" w:rsidP="00771E2F">
      <w:pPr>
        <w:pStyle w:val="Heading2"/>
      </w:pPr>
      <w:r>
        <w:t>2.3</w:t>
      </w:r>
      <w:r>
        <w:tab/>
      </w:r>
      <w:r w:rsidR="00E0098E">
        <w:t>UE sees l</w:t>
      </w:r>
      <w:r>
        <w:t xml:space="preserve">ogical cells </w:t>
      </w:r>
      <w:r w:rsidR="00E0098E">
        <w:t>as</w:t>
      </w:r>
      <w:r>
        <w:t xml:space="preserve"> same or separate physical cells</w:t>
      </w:r>
    </w:p>
    <w:p w14:paraId="17DEE2BB" w14:textId="64AFB8FE" w:rsidR="00771E2F" w:rsidRDefault="00771E2F" w:rsidP="00771E2F">
      <w:r>
        <w:t>RAN3 agreed that during IAB-DU migration, the UE is handed over between two logical cells belonging to separate logical IAB-DUs, which connect to different IAB-donor-CUs.</w:t>
      </w:r>
    </w:p>
    <w:p w14:paraId="4458CF00" w14:textId="4833B42D" w:rsidR="00771E2F" w:rsidRDefault="00771E2F" w:rsidP="00771E2F">
      <w:r>
        <w:t xml:space="preserve">Further, </w:t>
      </w:r>
      <w:proofErr w:type="gramStart"/>
      <w:r>
        <w:t xml:space="preserve">as a </w:t>
      </w:r>
      <w:r w:rsidR="00FB5C29">
        <w:t>consequence of</w:t>
      </w:r>
      <w:proofErr w:type="gramEnd"/>
      <w:r w:rsidR="00FB5C29">
        <w:t xml:space="preserve"> the UE handover between these two IAB-donor-CUs, the UE needs to perform a security update.</w:t>
      </w:r>
    </w:p>
    <w:p w14:paraId="032764A3" w14:textId="33CFE801" w:rsidR="00FB5C29" w:rsidRDefault="00FB5C29" w:rsidP="00D16129">
      <w:r>
        <w:t>The question arises if the UE can see the two logical cells as the same or as separate physical cells.</w:t>
      </w:r>
    </w:p>
    <w:p w14:paraId="4A044102" w14:textId="78790CB3" w:rsidR="001B6FF1" w:rsidRDefault="001B6FF1" w:rsidP="001B6FF1">
      <w:pPr>
        <w:pStyle w:val="ListParagraph"/>
        <w:numPr>
          <w:ilvl w:val="0"/>
          <w:numId w:val="40"/>
        </w:numPr>
        <w:contextualSpacing w:val="0"/>
      </w:pPr>
      <w:r>
        <w:t xml:space="preserve">If the two logical cells represent the </w:t>
      </w:r>
      <w:r w:rsidRPr="001B6FF1">
        <w:rPr>
          <w:u w:val="single"/>
        </w:rPr>
        <w:t>same</w:t>
      </w:r>
      <w:r>
        <w:t xml:space="preserve"> physical cell, they need to use the </w:t>
      </w:r>
      <w:r w:rsidRPr="001B6FF1">
        <w:rPr>
          <w:u w:val="single"/>
        </w:rPr>
        <w:t>same</w:t>
      </w:r>
      <w:r>
        <w:t xml:space="preserve"> PCI </w:t>
      </w:r>
      <w:r w:rsidRPr="001B6FF1">
        <w:rPr>
          <w:i/>
          <w:iCs/>
        </w:rPr>
        <w:t>and</w:t>
      </w:r>
      <w:r>
        <w:t xml:space="preserve"> </w:t>
      </w:r>
      <w:r w:rsidRPr="001B6FF1">
        <w:rPr>
          <w:u w:val="single"/>
        </w:rPr>
        <w:t>same</w:t>
      </w:r>
      <w:r>
        <w:t xml:space="preserve"> frequency.</w:t>
      </w:r>
    </w:p>
    <w:p w14:paraId="393FDB02" w14:textId="7321CA04" w:rsidR="001B6FF1" w:rsidRDefault="001B6FF1" w:rsidP="001B6FF1">
      <w:pPr>
        <w:pStyle w:val="ListParagraph"/>
        <w:numPr>
          <w:ilvl w:val="0"/>
          <w:numId w:val="40"/>
        </w:numPr>
        <w:contextualSpacing w:val="0"/>
      </w:pPr>
      <w:r>
        <w:t xml:space="preserve">If the two logical cells represent separate physical cells, they need to use </w:t>
      </w:r>
      <w:r w:rsidRPr="001B6FF1">
        <w:rPr>
          <w:u w:val="single"/>
        </w:rPr>
        <w:t>different</w:t>
      </w:r>
      <w:r>
        <w:t xml:space="preserve"> frequencies </w:t>
      </w:r>
      <w:r w:rsidRPr="001B6FF1">
        <w:rPr>
          <w:i/>
          <w:iCs/>
        </w:rPr>
        <w:t>or</w:t>
      </w:r>
      <w:r>
        <w:t xml:space="preserve"> </w:t>
      </w:r>
      <w:r w:rsidRPr="001B6FF1">
        <w:rPr>
          <w:u w:val="single"/>
        </w:rPr>
        <w:t>different</w:t>
      </w:r>
      <w:r>
        <w:t xml:space="preserve"> PCIs.</w:t>
      </w:r>
    </w:p>
    <w:p w14:paraId="204E1140" w14:textId="0FCF3DF8" w:rsidR="001B6FF1" w:rsidRDefault="00781FA2" w:rsidP="00D16129">
      <w:r>
        <w:t xml:space="preserve">The two logical cells need to broadcast their respective NCGIs. These NCGIs need to be different since the NCGI includes the </w:t>
      </w:r>
      <w:proofErr w:type="spellStart"/>
      <w:r>
        <w:t>gNB</w:t>
      </w:r>
      <w:proofErr w:type="spellEnd"/>
      <w:r>
        <w:t xml:space="preserve">-ID and this </w:t>
      </w:r>
      <w:proofErr w:type="spellStart"/>
      <w:r>
        <w:t>gNB</w:t>
      </w:r>
      <w:proofErr w:type="spellEnd"/>
      <w:r>
        <w:t>-ID is different for the two IAB-donor-CUs.</w:t>
      </w:r>
    </w:p>
    <w:p w14:paraId="1C891389" w14:textId="10D66DC2" w:rsidR="00781FA2" w:rsidRPr="00781FA2" w:rsidRDefault="00781FA2" w:rsidP="00D16129">
      <w:pPr>
        <w:rPr>
          <w:b/>
          <w:bCs/>
        </w:rPr>
      </w:pPr>
      <w:r w:rsidRPr="00781FA2">
        <w:rPr>
          <w:b/>
          <w:bCs/>
        </w:rPr>
        <w:t>Observation 7: The two logical cells need to broadcast different NCGIs since they belong to different IAB-donor-CUs.</w:t>
      </w:r>
    </w:p>
    <w:p w14:paraId="2DC80E98" w14:textId="0F5FEAAF" w:rsidR="00781FA2" w:rsidRDefault="00781FA2" w:rsidP="00D16129">
      <w:r>
        <w:t xml:space="preserve">For RAN sharing, one single physical cell can broadcast two separate NCGIs </w:t>
      </w:r>
      <w:proofErr w:type="gramStart"/>
      <w:r>
        <w:t>as long as</w:t>
      </w:r>
      <w:proofErr w:type="gramEnd"/>
      <w:r>
        <w:t xml:space="preserve"> these NCGIs belong to different PLMN/NPNs. The specification prohibits the physical cell to broadcast two separate NCGIs belonging to the same PLMN/NPN.</w:t>
      </w:r>
    </w:p>
    <w:p w14:paraId="2E850F5F" w14:textId="3A03D8B1" w:rsidR="00781FA2" w:rsidRDefault="00781FA2" w:rsidP="00781FA2">
      <w:pPr>
        <w:rPr>
          <w:b/>
          <w:bCs/>
        </w:rPr>
      </w:pPr>
      <w:r w:rsidRPr="00781FA2">
        <w:rPr>
          <w:b/>
          <w:bCs/>
        </w:rPr>
        <w:t xml:space="preserve">Observation </w:t>
      </w:r>
      <w:r>
        <w:rPr>
          <w:b/>
          <w:bCs/>
        </w:rPr>
        <w:t>8</w:t>
      </w:r>
      <w:r w:rsidRPr="00781FA2">
        <w:rPr>
          <w:b/>
          <w:bCs/>
        </w:rPr>
        <w:t xml:space="preserve">: </w:t>
      </w:r>
      <w:r>
        <w:rPr>
          <w:b/>
          <w:bCs/>
        </w:rPr>
        <w:t>Present specification prohibits the physical cell to broadcast two different NCGIs belonging to the same PLMN/NPN.</w:t>
      </w:r>
    </w:p>
    <w:p w14:paraId="409CCBC7" w14:textId="5CB1EE00" w:rsidR="009556D0" w:rsidRDefault="009556D0" w:rsidP="00781FA2">
      <w:r w:rsidRPr="009556D0">
        <w:t xml:space="preserve">While the specification could be changed for Rel-18 UEs, inter-donor DU migration must still be supported for legacy UEs. This implies that </w:t>
      </w:r>
      <w:r>
        <w:t>the two logical cells must represent separate physical cells.</w:t>
      </w:r>
    </w:p>
    <w:p w14:paraId="31046AE4" w14:textId="2FF182F4" w:rsidR="009556D0" w:rsidRPr="009556D0" w:rsidRDefault="009556D0" w:rsidP="00781FA2">
      <w:pPr>
        <w:rPr>
          <w:b/>
          <w:bCs/>
        </w:rPr>
      </w:pPr>
      <w:r w:rsidRPr="009556D0">
        <w:rPr>
          <w:b/>
          <w:bCs/>
        </w:rPr>
        <w:t>Proposal 3: For inter-donor DU migration, the two logical cells to represent separate physical cells.</w:t>
      </w:r>
    </w:p>
    <w:p w14:paraId="08F8A120" w14:textId="77777777" w:rsidR="009556D0" w:rsidRPr="00A25F51" w:rsidRDefault="009556D0" w:rsidP="009556D0">
      <w:pPr>
        <w:rPr>
          <w:b/>
          <w:bCs/>
        </w:rPr>
      </w:pPr>
    </w:p>
    <w:p w14:paraId="4549FE93" w14:textId="51ADEB3F" w:rsidR="009556D0" w:rsidRDefault="009556D0" w:rsidP="009556D0">
      <w:pPr>
        <w:pStyle w:val="Heading2"/>
      </w:pPr>
      <w:r>
        <w:t>2.4</w:t>
      </w:r>
      <w:r>
        <w:tab/>
      </w:r>
      <w:r w:rsidR="000F30BC">
        <w:t>Conditional handover execution</w:t>
      </w:r>
      <w:r>
        <w:t xml:space="preserve"> for group mobility</w:t>
      </w:r>
    </w:p>
    <w:p w14:paraId="00C29ECE" w14:textId="13E051F6" w:rsidR="00EA00A8" w:rsidRDefault="003442D2" w:rsidP="00D16129">
      <w:pPr>
        <w:rPr>
          <w:lang w:val="en-US"/>
        </w:rPr>
      </w:pPr>
      <w:r w:rsidRPr="00046AE0">
        <w:rPr>
          <w:lang w:val="en-US"/>
        </w:rPr>
        <w:t>For inter-donor IAB-DU migration</w:t>
      </w:r>
      <w:r w:rsidR="000B4310" w:rsidRPr="00046AE0">
        <w:rPr>
          <w:lang w:val="en-US"/>
        </w:rPr>
        <w:t xml:space="preserve">, </w:t>
      </w:r>
      <w:r w:rsidR="00046AE0" w:rsidRPr="00046AE0">
        <w:rPr>
          <w:lang w:val="en-US"/>
        </w:rPr>
        <w:t>a</w:t>
      </w:r>
      <w:r w:rsidR="00046AE0">
        <w:rPr>
          <w:lang w:val="en-US"/>
        </w:rPr>
        <w:t xml:space="preserve">ll connected UEs to the IAB-node need to be handed over between the source and the target IAB-donor-CU. </w:t>
      </w:r>
      <w:r w:rsidR="008C1100">
        <w:rPr>
          <w:lang w:val="en-US"/>
        </w:rPr>
        <w:t xml:space="preserve">To facilitate this handover in a swift manner, </w:t>
      </w:r>
      <w:r w:rsidR="00EA00A8">
        <w:rPr>
          <w:lang w:val="en-US"/>
        </w:rPr>
        <w:t xml:space="preserve">the source IAB-donor can perform </w:t>
      </w:r>
      <w:r w:rsidR="008C1100">
        <w:rPr>
          <w:lang w:val="en-US"/>
        </w:rPr>
        <w:t xml:space="preserve">preemptive UE handover preparation. </w:t>
      </w:r>
      <w:r w:rsidR="00EA00A8">
        <w:rPr>
          <w:lang w:val="en-US"/>
        </w:rPr>
        <w:t>In the last meeting, i</w:t>
      </w:r>
      <w:r w:rsidR="00FF1498">
        <w:rPr>
          <w:lang w:val="en-US"/>
        </w:rPr>
        <w:t xml:space="preserve">t </w:t>
      </w:r>
      <w:r w:rsidR="00EA00A8">
        <w:rPr>
          <w:lang w:val="en-US"/>
        </w:rPr>
        <w:t xml:space="preserve">was proposed to also consider </w:t>
      </w:r>
      <w:r w:rsidR="008C1100">
        <w:rPr>
          <w:lang w:val="en-US"/>
        </w:rPr>
        <w:t xml:space="preserve">preemptive </w:t>
      </w:r>
      <w:r w:rsidR="004B6388">
        <w:rPr>
          <w:lang w:val="en-US"/>
        </w:rPr>
        <w:t>delivery of the RRC Reconfiguration message</w:t>
      </w:r>
      <w:r w:rsidR="00EA00A8">
        <w:rPr>
          <w:lang w:val="en-US"/>
        </w:rPr>
        <w:t xml:space="preserve">, and to trigger the execution of this RRC Reconfiguration message by a condition that is met. </w:t>
      </w:r>
    </w:p>
    <w:p w14:paraId="1A85CCD1" w14:textId="745EE317" w:rsidR="00EA00A8" w:rsidRDefault="00EA00A8" w:rsidP="00D16129">
      <w:pPr>
        <w:rPr>
          <w:lang w:val="en-US"/>
        </w:rPr>
      </w:pPr>
      <w:r>
        <w:rPr>
          <w:lang w:val="en-US"/>
        </w:rPr>
        <w:t>The following options can be considered:</w:t>
      </w:r>
    </w:p>
    <w:p w14:paraId="2671BEC4" w14:textId="28908C5C" w:rsidR="00C96B15" w:rsidRDefault="00C96B15" w:rsidP="00C96B15">
      <w:pPr>
        <w:ind w:left="864" w:hanging="864"/>
        <w:rPr>
          <w:lang w:val="en-US"/>
        </w:rPr>
      </w:pPr>
      <w:r w:rsidRPr="000F30BC">
        <w:rPr>
          <w:b/>
          <w:bCs/>
          <w:lang w:val="en-US"/>
        </w:rPr>
        <w:t>Option 1:</w:t>
      </w:r>
      <w:r>
        <w:rPr>
          <w:lang w:val="en-US"/>
        </w:rPr>
        <w:t xml:space="preserve"> </w:t>
      </w:r>
      <w:r w:rsidR="00EA00A8" w:rsidRPr="00C96B15">
        <w:rPr>
          <w:lang w:val="en-US"/>
        </w:rPr>
        <w:t xml:space="preserve">The RRC Reconfiguration messages are sent to the logical source IAB-DU, where they are withheld until </w:t>
      </w:r>
      <w:r w:rsidRPr="00C96B15">
        <w:rPr>
          <w:lang w:val="en-US"/>
        </w:rPr>
        <w:t xml:space="preserve">a condition has been met, e.g., the IAB-MT has received its own handover command.  </w:t>
      </w:r>
    </w:p>
    <w:p w14:paraId="49645152" w14:textId="77777777" w:rsidR="000F30BC" w:rsidRDefault="000F30BC" w:rsidP="000F30BC">
      <w:pPr>
        <w:ind w:left="864"/>
        <w:rPr>
          <w:lang w:val="en-US"/>
        </w:rPr>
      </w:pPr>
      <w:r>
        <w:rPr>
          <w:lang w:val="en-US"/>
        </w:rPr>
        <w:t>An analogue solution</w:t>
      </w:r>
      <w:r w:rsidR="00C96B15" w:rsidRPr="00C96B15">
        <w:rPr>
          <w:lang w:val="en-US"/>
        </w:rPr>
        <w:t xml:space="preserve"> </w:t>
      </w:r>
      <w:r>
        <w:rPr>
          <w:lang w:val="en-US"/>
        </w:rPr>
        <w:t>was</w:t>
      </w:r>
      <w:r w:rsidR="00C96B15" w:rsidRPr="00C96B15">
        <w:rPr>
          <w:lang w:val="en-US"/>
        </w:rPr>
        <w:t xml:space="preserve"> introduced by RAN3 in Rel-17 for </w:t>
      </w:r>
      <w:r>
        <w:rPr>
          <w:lang w:val="en-US"/>
        </w:rPr>
        <w:t xml:space="preserve">the </w:t>
      </w:r>
      <w:r w:rsidR="00C96B15" w:rsidRPr="00C96B15">
        <w:rPr>
          <w:lang w:val="en-US"/>
        </w:rPr>
        <w:t xml:space="preserve">reconfiguration of descendent nodes during intra-donor migration. </w:t>
      </w:r>
    </w:p>
    <w:p w14:paraId="40A66227" w14:textId="647A7841" w:rsidR="00C96B15" w:rsidRDefault="00C96B15" w:rsidP="000F30BC">
      <w:pPr>
        <w:ind w:left="864"/>
        <w:rPr>
          <w:lang w:val="en-US"/>
        </w:rPr>
      </w:pPr>
      <w:r w:rsidRPr="00C96B15">
        <w:rPr>
          <w:lang w:val="en-US"/>
        </w:rPr>
        <w:t xml:space="preserve">This </w:t>
      </w:r>
      <w:r>
        <w:rPr>
          <w:lang w:val="en-US"/>
        </w:rPr>
        <w:t>option can support legacy UEs.</w:t>
      </w:r>
    </w:p>
    <w:p w14:paraId="31F7F6CC" w14:textId="59C60F73" w:rsidR="000F30BC" w:rsidRDefault="000F30BC" w:rsidP="000F30BC">
      <w:pPr>
        <w:ind w:left="864" w:hanging="864"/>
        <w:rPr>
          <w:lang w:val="en-US"/>
        </w:rPr>
      </w:pPr>
      <w:r w:rsidRPr="000F30BC">
        <w:rPr>
          <w:b/>
          <w:bCs/>
          <w:lang w:val="en-US"/>
        </w:rPr>
        <w:t xml:space="preserve">Option </w:t>
      </w:r>
      <w:r>
        <w:rPr>
          <w:b/>
          <w:bCs/>
          <w:lang w:val="en-US"/>
        </w:rPr>
        <w:t>2</w:t>
      </w:r>
      <w:r w:rsidRPr="000F30BC">
        <w:rPr>
          <w:b/>
          <w:bCs/>
          <w:lang w:val="en-US"/>
        </w:rPr>
        <w:t>:</w:t>
      </w:r>
      <w:r>
        <w:rPr>
          <w:lang w:val="en-US"/>
        </w:rPr>
        <w:t xml:space="preserve"> </w:t>
      </w:r>
      <w:r w:rsidRPr="00C96B15">
        <w:rPr>
          <w:lang w:val="en-US"/>
        </w:rPr>
        <w:t xml:space="preserve">The RRC Reconfiguration messages are sent to the </w:t>
      </w:r>
      <w:r>
        <w:rPr>
          <w:lang w:val="en-US"/>
        </w:rPr>
        <w:t>UEs</w:t>
      </w:r>
      <w:r w:rsidRPr="00C96B15">
        <w:rPr>
          <w:lang w:val="en-US"/>
        </w:rPr>
        <w:t>, where they are withheld until a condition has been met</w:t>
      </w:r>
      <w:r w:rsidR="00661676">
        <w:rPr>
          <w:lang w:val="en-US"/>
        </w:rPr>
        <w:t xml:space="preserve">, which </w:t>
      </w:r>
      <w:r w:rsidR="001271C1">
        <w:rPr>
          <w:lang w:val="en-US"/>
        </w:rPr>
        <w:t>may be based on a</w:t>
      </w:r>
      <w:r w:rsidR="00661676">
        <w:rPr>
          <w:lang w:val="en-US"/>
        </w:rPr>
        <w:t xml:space="preserve"> broadcast by the </w:t>
      </w:r>
      <w:r>
        <w:rPr>
          <w:lang w:val="en-US"/>
        </w:rPr>
        <w:t>logical source IAB-DU.</w:t>
      </w:r>
      <w:r w:rsidRPr="00C96B15">
        <w:rPr>
          <w:lang w:val="en-US"/>
        </w:rPr>
        <w:t xml:space="preserve"> </w:t>
      </w:r>
    </w:p>
    <w:p w14:paraId="194A69EB" w14:textId="77777777" w:rsidR="001271C1" w:rsidRDefault="00661676" w:rsidP="001271C1">
      <w:pPr>
        <w:ind w:left="864"/>
        <w:rPr>
          <w:lang w:val="en-US"/>
        </w:rPr>
      </w:pPr>
      <w:r>
        <w:rPr>
          <w:lang w:val="en-US"/>
        </w:rPr>
        <w:lastRenderedPageBreak/>
        <w:t xml:space="preserve">This broadcast may be a service-time indicator included in SIB as used by NTN. Alternatively, it may be a DCI message transmitted at the start of IAB-MT migration. </w:t>
      </w:r>
    </w:p>
    <w:p w14:paraId="764E1CF4" w14:textId="1A85C53F" w:rsidR="001271C1" w:rsidRDefault="001271C1" w:rsidP="001271C1">
      <w:pPr>
        <w:ind w:left="864"/>
        <w:rPr>
          <w:lang w:val="en-US"/>
        </w:rPr>
      </w:pPr>
      <w:r w:rsidRPr="00C96B15">
        <w:rPr>
          <w:lang w:val="en-US"/>
        </w:rPr>
        <w:t>Th</w:t>
      </w:r>
      <w:r>
        <w:rPr>
          <w:lang w:val="en-US"/>
        </w:rPr>
        <w:t xml:space="preserve">is option </w:t>
      </w:r>
      <w:r>
        <w:rPr>
          <w:lang w:val="en-US"/>
        </w:rPr>
        <w:t xml:space="preserve">may not </w:t>
      </w:r>
      <w:r>
        <w:rPr>
          <w:lang w:val="en-US"/>
        </w:rPr>
        <w:t>support by</w:t>
      </w:r>
      <w:r>
        <w:rPr>
          <w:lang w:val="en-US"/>
        </w:rPr>
        <w:t xml:space="preserve"> legacy UEs.</w:t>
      </w:r>
    </w:p>
    <w:p w14:paraId="42F0F278" w14:textId="5B4E0E93" w:rsidR="001271C1" w:rsidRDefault="001271C1" w:rsidP="001271C1">
      <w:pPr>
        <w:ind w:left="864" w:hanging="864"/>
        <w:rPr>
          <w:lang w:val="en-US"/>
        </w:rPr>
      </w:pPr>
      <w:r w:rsidRPr="000F30BC">
        <w:rPr>
          <w:b/>
          <w:bCs/>
          <w:lang w:val="en-US"/>
        </w:rPr>
        <w:t xml:space="preserve">Option </w:t>
      </w:r>
      <w:r>
        <w:rPr>
          <w:b/>
          <w:bCs/>
          <w:lang w:val="en-US"/>
        </w:rPr>
        <w:t>3</w:t>
      </w:r>
      <w:r w:rsidRPr="000F30BC">
        <w:rPr>
          <w:b/>
          <w:bCs/>
          <w:lang w:val="en-US"/>
        </w:rPr>
        <w:t>:</w:t>
      </w:r>
      <w:r>
        <w:rPr>
          <w:lang w:val="en-US"/>
        </w:rPr>
        <w:t xml:space="preserve"> </w:t>
      </w:r>
      <w:r>
        <w:rPr>
          <w:lang w:val="en-US"/>
        </w:rPr>
        <w:t xml:space="preserve">Legacy CHO is configured on the </w:t>
      </w:r>
      <w:proofErr w:type="gramStart"/>
      <w:r>
        <w:rPr>
          <w:lang w:val="en-US"/>
        </w:rPr>
        <w:t>UEs</w:t>
      </w:r>
      <w:proofErr w:type="gramEnd"/>
      <w:r>
        <w:rPr>
          <w:lang w:val="en-US"/>
        </w:rPr>
        <w:t xml:space="preserve"> and the handover is triggered by powering down the source logical IAB-DU cell.</w:t>
      </w:r>
      <w:r w:rsidRPr="00C96B15">
        <w:rPr>
          <w:lang w:val="en-US"/>
        </w:rPr>
        <w:t xml:space="preserve"> </w:t>
      </w:r>
    </w:p>
    <w:p w14:paraId="6E9AE048" w14:textId="528BE146" w:rsidR="001271C1" w:rsidRDefault="001271C1" w:rsidP="001271C1">
      <w:pPr>
        <w:ind w:left="864"/>
        <w:rPr>
          <w:lang w:val="en-US"/>
        </w:rPr>
      </w:pPr>
      <w:r>
        <w:rPr>
          <w:lang w:val="en-US"/>
        </w:rPr>
        <w:t>This solution</w:t>
      </w:r>
      <w:r>
        <w:rPr>
          <w:lang w:val="en-US"/>
        </w:rPr>
        <w:t xml:space="preserve"> is supported by Rel-16</w:t>
      </w:r>
      <w:r>
        <w:rPr>
          <w:lang w:val="en-US"/>
        </w:rPr>
        <w:t>/17</w:t>
      </w:r>
      <w:r>
        <w:rPr>
          <w:lang w:val="en-US"/>
        </w:rPr>
        <w:t xml:space="preserve"> UEs.</w:t>
      </w:r>
    </w:p>
    <w:p w14:paraId="5076815D" w14:textId="3C033554" w:rsidR="00946A16" w:rsidRDefault="000F30BC" w:rsidP="00D16129">
      <w:pPr>
        <w:rPr>
          <w:lang w:val="en-US"/>
        </w:rPr>
      </w:pPr>
      <w:r>
        <w:rPr>
          <w:lang w:val="en-US"/>
        </w:rPr>
        <w:t>RAN2 should discuss these options.</w:t>
      </w:r>
    </w:p>
    <w:p w14:paraId="4CC26EF1" w14:textId="765ABF04" w:rsidR="00FF1498" w:rsidRDefault="000F30BC" w:rsidP="00FF1498">
      <w:pPr>
        <w:contextualSpacing/>
        <w:rPr>
          <w:b/>
          <w:bCs/>
          <w:lang w:val="en-US"/>
        </w:rPr>
      </w:pPr>
      <w:r w:rsidRPr="000F30BC">
        <w:rPr>
          <w:b/>
          <w:bCs/>
          <w:lang w:val="en-US"/>
        </w:rPr>
        <w:t>Proposal 4:  For group handover, RAN2 to discuss pre</w:t>
      </w:r>
      <w:r w:rsidR="00AB2E1B">
        <w:rPr>
          <w:b/>
          <w:bCs/>
          <w:lang w:val="en-US"/>
        </w:rPr>
        <w:t>-</w:t>
      </w:r>
      <w:r w:rsidRPr="000F30BC">
        <w:rPr>
          <w:b/>
          <w:bCs/>
          <w:lang w:val="en-US"/>
        </w:rPr>
        <w:t xml:space="preserve">emptive delivery of RRC Reconfiguration messages considering </w:t>
      </w:r>
      <w:r w:rsidR="00661676">
        <w:rPr>
          <w:b/>
          <w:bCs/>
          <w:lang w:val="en-US"/>
        </w:rPr>
        <w:t>the following</w:t>
      </w:r>
      <w:r w:rsidR="00713634">
        <w:rPr>
          <w:b/>
          <w:bCs/>
          <w:lang w:val="en-US"/>
        </w:rPr>
        <w:t xml:space="preserve"> options: </w:t>
      </w:r>
    </w:p>
    <w:p w14:paraId="1484B8BD" w14:textId="7162AC5E" w:rsidR="00FF1498" w:rsidRDefault="000F30BC" w:rsidP="001271C1">
      <w:pPr>
        <w:ind w:left="432"/>
        <w:contextualSpacing/>
        <w:rPr>
          <w:b/>
          <w:bCs/>
          <w:lang w:val="en-US"/>
        </w:rPr>
      </w:pPr>
      <w:r>
        <w:rPr>
          <w:b/>
          <w:bCs/>
          <w:lang w:val="en-US"/>
        </w:rPr>
        <w:t xml:space="preserve">1) </w:t>
      </w:r>
      <w:r w:rsidR="00D92B08">
        <w:rPr>
          <w:b/>
          <w:bCs/>
          <w:lang w:val="en-US"/>
        </w:rPr>
        <w:t xml:space="preserve">message withholding </w:t>
      </w:r>
      <w:r w:rsidR="00AB2E1B" w:rsidRPr="000F30BC">
        <w:rPr>
          <w:b/>
          <w:bCs/>
          <w:lang w:val="en-US"/>
        </w:rPr>
        <w:t xml:space="preserve">by the logical source IAB-DU </w:t>
      </w:r>
      <w:r w:rsidR="00661676">
        <w:rPr>
          <w:b/>
          <w:bCs/>
          <w:lang w:val="en-US"/>
        </w:rPr>
        <w:t>with</w:t>
      </w:r>
      <w:r w:rsidR="00D92B08">
        <w:rPr>
          <w:b/>
          <w:bCs/>
          <w:lang w:val="en-US"/>
        </w:rPr>
        <w:t xml:space="preserve"> </w:t>
      </w:r>
      <w:r w:rsidRPr="000F30BC">
        <w:rPr>
          <w:b/>
          <w:bCs/>
          <w:lang w:val="en-US"/>
        </w:rPr>
        <w:t>conditional delivery</w:t>
      </w:r>
      <w:r w:rsidR="00AB2E1B">
        <w:rPr>
          <w:b/>
          <w:bCs/>
          <w:lang w:val="en-US"/>
        </w:rPr>
        <w:t>, e.g., upon on MT migration</w:t>
      </w:r>
      <w:r w:rsidR="001271C1">
        <w:rPr>
          <w:b/>
          <w:bCs/>
          <w:lang w:val="en-US"/>
        </w:rPr>
        <w:t>,</w:t>
      </w:r>
      <w:r w:rsidRPr="000F30BC">
        <w:rPr>
          <w:b/>
          <w:bCs/>
          <w:lang w:val="en-US"/>
        </w:rPr>
        <w:t xml:space="preserve"> </w:t>
      </w:r>
    </w:p>
    <w:p w14:paraId="7F47DFCD" w14:textId="6100A910" w:rsidR="001271C1" w:rsidRDefault="000F30BC" w:rsidP="001271C1">
      <w:pPr>
        <w:ind w:left="432"/>
        <w:contextualSpacing/>
        <w:rPr>
          <w:b/>
          <w:bCs/>
          <w:lang w:val="en-US"/>
        </w:rPr>
      </w:pPr>
      <w:r>
        <w:rPr>
          <w:b/>
          <w:bCs/>
          <w:lang w:val="en-US"/>
        </w:rPr>
        <w:t>2)</w:t>
      </w:r>
      <w:r w:rsidRPr="000F30BC">
        <w:rPr>
          <w:b/>
          <w:bCs/>
          <w:lang w:val="en-US"/>
        </w:rPr>
        <w:t xml:space="preserve"> conditional execution by the UE</w:t>
      </w:r>
      <w:r w:rsidR="001271C1">
        <w:rPr>
          <w:b/>
          <w:bCs/>
          <w:lang w:val="en-US"/>
        </w:rPr>
        <w:t xml:space="preserve"> </w:t>
      </w:r>
      <w:r w:rsidR="00661676">
        <w:rPr>
          <w:b/>
          <w:bCs/>
          <w:lang w:val="en-US"/>
        </w:rPr>
        <w:t>based on</w:t>
      </w:r>
      <w:r w:rsidR="001271C1">
        <w:rPr>
          <w:b/>
          <w:bCs/>
          <w:lang w:val="en-US"/>
        </w:rPr>
        <w:t>, e.g.,</w:t>
      </w:r>
      <w:r w:rsidR="00661676">
        <w:rPr>
          <w:b/>
          <w:bCs/>
          <w:lang w:val="en-US"/>
        </w:rPr>
        <w:t xml:space="preserve"> a broadcast indication</w:t>
      </w:r>
      <w:r w:rsidR="001271C1">
        <w:rPr>
          <w:b/>
          <w:bCs/>
          <w:lang w:val="en-US"/>
        </w:rPr>
        <w:t xml:space="preserve"> such as</w:t>
      </w:r>
      <w:r w:rsidR="00661676">
        <w:rPr>
          <w:b/>
          <w:bCs/>
          <w:lang w:val="en-US"/>
        </w:rPr>
        <w:t xml:space="preserve"> SIB indication of service time or DCI indication </w:t>
      </w:r>
      <w:r w:rsidR="001271C1">
        <w:rPr>
          <w:b/>
          <w:bCs/>
          <w:lang w:val="en-US"/>
        </w:rPr>
        <w:t>of</w:t>
      </w:r>
      <w:r w:rsidR="00661676">
        <w:rPr>
          <w:b/>
          <w:bCs/>
          <w:lang w:val="en-US"/>
        </w:rPr>
        <w:t xml:space="preserve"> MT-migration</w:t>
      </w:r>
      <w:r w:rsidR="001271C1">
        <w:rPr>
          <w:b/>
          <w:bCs/>
          <w:lang w:val="en-US"/>
        </w:rPr>
        <w:t>,</w:t>
      </w:r>
    </w:p>
    <w:p w14:paraId="46002609" w14:textId="270E0C75" w:rsidR="00FF1498" w:rsidRDefault="001271C1" w:rsidP="001271C1">
      <w:pPr>
        <w:ind w:left="432"/>
        <w:contextualSpacing/>
        <w:rPr>
          <w:b/>
          <w:bCs/>
          <w:lang w:val="en-US"/>
        </w:rPr>
      </w:pPr>
      <w:r>
        <w:rPr>
          <w:b/>
          <w:bCs/>
          <w:lang w:val="en-US"/>
        </w:rPr>
        <w:t>3) legacy CHO using source-cell power down as trigger for handover</w:t>
      </w:r>
      <w:r w:rsidR="00661676">
        <w:rPr>
          <w:b/>
          <w:bCs/>
          <w:lang w:val="en-US"/>
        </w:rPr>
        <w:t>.</w:t>
      </w:r>
    </w:p>
    <w:p w14:paraId="11987CEF" w14:textId="24550DFF" w:rsidR="000F30BC" w:rsidRPr="000F30BC" w:rsidRDefault="000F30BC" w:rsidP="00FF1498">
      <w:pPr>
        <w:ind w:left="432"/>
        <w:contextualSpacing/>
        <w:rPr>
          <w:b/>
          <w:bCs/>
          <w:lang w:val="en-US"/>
        </w:rPr>
      </w:pPr>
    </w:p>
    <w:p w14:paraId="012FA805" w14:textId="1C4D85C9" w:rsidR="000F30BC" w:rsidRDefault="000F30BC" w:rsidP="00A25F51"/>
    <w:p w14:paraId="65122BD0" w14:textId="4416412E" w:rsidR="000F30BC" w:rsidRPr="000F30BC" w:rsidRDefault="000F30BC" w:rsidP="000F30BC">
      <w:pPr>
        <w:pStyle w:val="Heading2"/>
        <w:rPr>
          <w:lang w:val="en-US"/>
        </w:rPr>
      </w:pPr>
      <w:r w:rsidRPr="000F30BC">
        <w:rPr>
          <w:lang w:val="en-US"/>
        </w:rPr>
        <w:t>2.5</w:t>
      </w:r>
      <w:r w:rsidRPr="000F30BC">
        <w:rPr>
          <w:lang w:val="en-US"/>
        </w:rPr>
        <w:tab/>
        <w:t>RACH-less UE handover during IAB-DU migra</w:t>
      </w:r>
      <w:r>
        <w:rPr>
          <w:lang w:val="en-US"/>
        </w:rPr>
        <w:t>tion</w:t>
      </w:r>
    </w:p>
    <w:p w14:paraId="5AA78D36" w14:textId="23CCFDA8" w:rsidR="00147D5A" w:rsidRDefault="000F30BC" w:rsidP="00A25F51">
      <w:r>
        <w:t xml:space="preserve">Last meeting discussed RACH-less UE handover during inter-donor IAB-DU migration. </w:t>
      </w:r>
      <w:r w:rsidR="00147D5A">
        <w:t>The omission of RACH would reduce RACH congestion and reduce handover interruption time. Further, timing adjustment during the handover, which is usually one function of the random-access procedure, is not needed since the source and target logical cells reside at the same location.</w:t>
      </w:r>
    </w:p>
    <w:p w14:paraId="60B3BEC2" w14:textId="77777777" w:rsidR="004119E9" w:rsidRDefault="004119E9" w:rsidP="00A25F51">
      <w:r>
        <w:t>The UE handover during inter-donor IAB-DU migration needs to include a resync since the UE’s security context is updated. The following options can be considered:</w:t>
      </w:r>
    </w:p>
    <w:p w14:paraId="78F1BD38" w14:textId="5A30E36B" w:rsidR="004119E9" w:rsidRDefault="004119E9" w:rsidP="004119E9">
      <w:pPr>
        <w:ind w:left="864" w:hanging="864"/>
        <w:rPr>
          <w:lang w:val="en-US"/>
        </w:rPr>
      </w:pPr>
      <w:r w:rsidRPr="000F30BC">
        <w:rPr>
          <w:b/>
          <w:bCs/>
          <w:lang w:val="en-US"/>
        </w:rPr>
        <w:t xml:space="preserve">Option </w:t>
      </w:r>
      <w:r>
        <w:rPr>
          <w:b/>
          <w:bCs/>
          <w:lang w:val="en-US"/>
        </w:rPr>
        <w:t>A</w:t>
      </w:r>
      <w:r w:rsidRPr="000F30BC">
        <w:rPr>
          <w:b/>
          <w:bCs/>
          <w:lang w:val="en-US"/>
        </w:rPr>
        <w:t>:</w:t>
      </w:r>
      <w:r>
        <w:rPr>
          <w:lang w:val="en-US"/>
        </w:rPr>
        <w:t xml:space="preserve"> </w:t>
      </w:r>
      <w:r w:rsidRPr="00C96B15">
        <w:rPr>
          <w:lang w:val="en-US"/>
        </w:rPr>
        <w:t xml:space="preserve">The </w:t>
      </w:r>
      <w:r w:rsidR="00740DC3">
        <w:rPr>
          <w:lang w:val="en-US"/>
        </w:rPr>
        <w:t xml:space="preserve">handover is performed without resync and the </w:t>
      </w:r>
      <w:r>
        <w:rPr>
          <w:lang w:val="en-US"/>
        </w:rPr>
        <w:t xml:space="preserve">UE’s security context is updated at a later point in time. </w:t>
      </w:r>
    </w:p>
    <w:p w14:paraId="1059C638" w14:textId="191BADBF" w:rsidR="003237E8" w:rsidRDefault="003237E8" w:rsidP="004119E9">
      <w:pPr>
        <w:ind w:left="864"/>
        <w:rPr>
          <w:lang w:val="en-US"/>
        </w:rPr>
      </w:pPr>
      <w:r>
        <w:rPr>
          <w:lang w:val="en-US"/>
        </w:rPr>
        <w:t>This allows speeding up the UE handover for the group of UEs and to spread the signaling for the resync over some time.</w:t>
      </w:r>
    </w:p>
    <w:p w14:paraId="6F3E9EEB" w14:textId="77777777" w:rsidR="003237E8" w:rsidRDefault="003237E8" w:rsidP="004119E9">
      <w:pPr>
        <w:ind w:left="864"/>
        <w:rPr>
          <w:lang w:val="en-US"/>
        </w:rPr>
      </w:pPr>
      <w:r>
        <w:rPr>
          <w:lang w:val="en-US"/>
        </w:rPr>
        <w:t>It</w:t>
      </w:r>
      <w:r w:rsidR="004119E9">
        <w:rPr>
          <w:lang w:val="en-US"/>
        </w:rPr>
        <w:t xml:space="preserve"> implies that the target IAB-donor-CU uses the old key for the intermediate time frame</w:t>
      </w:r>
      <w:r w:rsidR="004119E9" w:rsidRPr="00C96B15">
        <w:rPr>
          <w:lang w:val="en-US"/>
        </w:rPr>
        <w:t>.</w:t>
      </w:r>
      <w:r>
        <w:rPr>
          <w:lang w:val="en-US"/>
        </w:rPr>
        <w:t xml:space="preserve"> </w:t>
      </w:r>
    </w:p>
    <w:p w14:paraId="6CF512F0" w14:textId="3764F183" w:rsidR="004119E9" w:rsidRDefault="004119E9" w:rsidP="004119E9">
      <w:pPr>
        <w:ind w:left="864"/>
        <w:rPr>
          <w:lang w:val="en-US"/>
        </w:rPr>
      </w:pPr>
      <w:r>
        <w:rPr>
          <w:lang w:val="en-US"/>
        </w:rPr>
        <w:t>This option has security implications and therefore requires assessment by SA3.</w:t>
      </w:r>
      <w:r w:rsidRPr="00C96B15">
        <w:rPr>
          <w:lang w:val="en-US"/>
        </w:rPr>
        <w:t xml:space="preserve"> </w:t>
      </w:r>
    </w:p>
    <w:p w14:paraId="3691F8D8" w14:textId="41A9B7DE" w:rsidR="00560655" w:rsidRDefault="00560655" w:rsidP="004119E9">
      <w:pPr>
        <w:ind w:left="864"/>
        <w:rPr>
          <w:lang w:val="en-US"/>
        </w:rPr>
      </w:pPr>
      <w:proofErr w:type="gramStart"/>
      <w:r>
        <w:rPr>
          <w:lang w:val="en-US"/>
        </w:rPr>
        <w:t>This options</w:t>
      </w:r>
      <w:proofErr w:type="gramEnd"/>
      <w:r>
        <w:rPr>
          <w:lang w:val="en-US"/>
        </w:rPr>
        <w:t xml:space="preserve"> may support legacy UEs</w:t>
      </w:r>
    </w:p>
    <w:p w14:paraId="288133DF" w14:textId="4DBEB8C9" w:rsidR="004119E9" w:rsidRDefault="004119E9" w:rsidP="004119E9">
      <w:pPr>
        <w:ind w:left="864" w:hanging="864"/>
        <w:rPr>
          <w:lang w:val="en-US"/>
        </w:rPr>
      </w:pPr>
      <w:r w:rsidRPr="000F30BC">
        <w:rPr>
          <w:b/>
          <w:bCs/>
          <w:lang w:val="en-US"/>
        </w:rPr>
        <w:t xml:space="preserve">Option </w:t>
      </w:r>
      <w:r w:rsidR="00740DC3">
        <w:rPr>
          <w:b/>
          <w:bCs/>
          <w:lang w:val="en-US"/>
        </w:rPr>
        <w:t>B</w:t>
      </w:r>
      <w:r w:rsidRPr="000F30BC">
        <w:rPr>
          <w:b/>
          <w:bCs/>
          <w:lang w:val="en-US"/>
        </w:rPr>
        <w:t>:</w:t>
      </w:r>
      <w:r>
        <w:rPr>
          <w:lang w:val="en-US"/>
        </w:rPr>
        <w:t xml:space="preserve"> </w:t>
      </w:r>
      <w:r w:rsidRPr="00C96B15">
        <w:rPr>
          <w:lang w:val="en-US"/>
        </w:rPr>
        <w:t xml:space="preserve">The </w:t>
      </w:r>
      <w:r w:rsidR="000028B0">
        <w:rPr>
          <w:lang w:val="en-US"/>
        </w:rPr>
        <w:t xml:space="preserve">handover is performed </w:t>
      </w:r>
      <w:r w:rsidR="00713634">
        <w:rPr>
          <w:lang w:val="en-US"/>
        </w:rPr>
        <w:t>with</w:t>
      </w:r>
      <w:r w:rsidR="000028B0">
        <w:rPr>
          <w:lang w:val="en-US"/>
        </w:rPr>
        <w:t xml:space="preserve"> resync</w:t>
      </w:r>
      <w:r w:rsidR="00560655">
        <w:rPr>
          <w:lang w:val="en-US"/>
        </w:rPr>
        <w:t>, where</w:t>
      </w:r>
      <w:r w:rsidR="000028B0">
        <w:rPr>
          <w:lang w:val="en-US"/>
        </w:rPr>
        <w:t xml:space="preserve"> </w:t>
      </w:r>
      <w:r w:rsidR="00713634">
        <w:rPr>
          <w:lang w:val="en-US"/>
        </w:rPr>
        <w:t xml:space="preserve">the resync is triggered via </w:t>
      </w:r>
      <w:r w:rsidR="00B756ED">
        <w:rPr>
          <w:lang w:val="en-US"/>
        </w:rPr>
        <w:t xml:space="preserve">UL </w:t>
      </w:r>
      <w:r w:rsidR="00713634">
        <w:rPr>
          <w:lang w:val="en-US"/>
        </w:rPr>
        <w:t>MAC CE rather than RA</w:t>
      </w:r>
      <w:r w:rsidR="00B756ED">
        <w:rPr>
          <w:lang w:val="en-US"/>
        </w:rPr>
        <w:t>CH preamble</w:t>
      </w:r>
      <w:r>
        <w:rPr>
          <w:lang w:val="en-US"/>
        </w:rPr>
        <w:t>.</w:t>
      </w:r>
      <w:r w:rsidRPr="00C96B15">
        <w:rPr>
          <w:lang w:val="en-US"/>
        </w:rPr>
        <w:t xml:space="preserve"> </w:t>
      </w:r>
    </w:p>
    <w:p w14:paraId="0438D88C" w14:textId="77777777" w:rsidR="003237E8" w:rsidRDefault="003237E8" w:rsidP="004119E9">
      <w:pPr>
        <w:ind w:left="864"/>
        <w:rPr>
          <w:lang w:val="en-US"/>
        </w:rPr>
      </w:pPr>
      <w:r>
        <w:rPr>
          <w:lang w:val="en-US"/>
        </w:rPr>
        <w:t>This reduces the RACH load and speeds up the handover.</w:t>
      </w:r>
    </w:p>
    <w:p w14:paraId="7FAFB7B1" w14:textId="6B9668A1" w:rsidR="004119E9" w:rsidRDefault="004119E9" w:rsidP="004119E9">
      <w:pPr>
        <w:ind w:left="864"/>
        <w:rPr>
          <w:lang w:val="en-US"/>
        </w:rPr>
      </w:pPr>
      <w:r w:rsidRPr="00C96B15">
        <w:rPr>
          <w:lang w:val="en-US"/>
        </w:rPr>
        <w:t xml:space="preserve">This </w:t>
      </w:r>
      <w:r>
        <w:rPr>
          <w:lang w:val="en-US"/>
        </w:rPr>
        <w:t>option cannot support legacy UEs.</w:t>
      </w:r>
    </w:p>
    <w:p w14:paraId="49FB09E6" w14:textId="1BF20E72" w:rsidR="00713634" w:rsidRDefault="00713634" w:rsidP="00713634">
      <w:pPr>
        <w:rPr>
          <w:b/>
          <w:bCs/>
          <w:lang w:val="en-US"/>
        </w:rPr>
      </w:pPr>
      <w:r w:rsidRPr="000F30BC">
        <w:rPr>
          <w:b/>
          <w:bCs/>
          <w:lang w:val="en-US"/>
        </w:rPr>
        <w:t xml:space="preserve">Proposal </w:t>
      </w:r>
      <w:r>
        <w:rPr>
          <w:b/>
          <w:bCs/>
          <w:lang w:val="en-US"/>
        </w:rPr>
        <w:t>5</w:t>
      </w:r>
      <w:r w:rsidRPr="000F30BC">
        <w:rPr>
          <w:b/>
          <w:bCs/>
          <w:lang w:val="en-US"/>
        </w:rPr>
        <w:t xml:space="preserve">:  For </w:t>
      </w:r>
      <w:r>
        <w:rPr>
          <w:b/>
          <w:bCs/>
          <w:lang w:val="en-US"/>
        </w:rPr>
        <w:t>RACH-less</w:t>
      </w:r>
      <w:r w:rsidRPr="000F30BC">
        <w:rPr>
          <w:b/>
          <w:bCs/>
          <w:lang w:val="en-US"/>
        </w:rPr>
        <w:t xml:space="preserve"> handover</w:t>
      </w:r>
      <w:r w:rsidR="003237E8">
        <w:rPr>
          <w:b/>
          <w:bCs/>
          <w:lang w:val="en-US"/>
        </w:rPr>
        <w:t xml:space="preserve"> during inter-donor IAB-DU migration</w:t>
      </w:r>
      <w:r w:rsidRPr="000F30BC">
        <w:rPr>
          <w:b/>
          <w:bCs/>
          <w:lang w:val="en-US"/>
        </w:rPr>
        <w:t xml:space="preserve">, RAN2 to discuss </w:t>
      </w:r>
      <w:r w:rsidR="003237E8">
        <w:rPr>
          <w:b/>
          <w:bCs/>
          <w:lang w:val="en-US"/>
        </w:rPr>
        <w:t xml:space="preserve">the two options: 1) </w:t>
      </w:r>
      <w:r w:rsidR="005B4474">
        <w:rPr>
          <w:b/>
          <w:bCs/>
          <w:lang w:val="en-US"/>
        </w:rPr>
        <w:t xml:space="preserve">performing the UE </w:t>
      </w:r>
      <w:r w:rsidR="003237E8">
        <w:rPr>
          <w:b/>
          <w:bCs/>
          <w:lang w:val="en-US"/>
        </w:rPr>
        <w:t>security update</w:t>
      </w:r>
      <w:r w:rsidR="005B4474">
        <w:rPr>
          <w:b/>
          <w:bCs/>
          <w:lang w:val="en-US"/>
        </w:rPr>
        <w:t xml:space="preserve"> after handover completion,</w:t>
      </w:r>
      <w:r w:rsidR="003237E8">
        <w:rPr>
          <w:b/>
          <w:bCs/>
          <w:lang w:val="en-US"/>
        </w:rPr>
        <w:t xml:space="preserve"> </w:t>
      </w:r>
      <w:r w:rsidR="005B4474">
        <w:rPr>
          <w:b/>
          <w:bCs/>
          <w:lang w:val="en-US"/>
        </w:rPr>
        <w:t>and</w:t>
      </w:r>
      <w:r w:rsidR="003237E8">
        <w:rPr>
          <w:b/>
          <w:bCs/>
          <w:lang w:val="en-US"/>
        </w:rPr>
        <w:t xml:space="preserve"> 2) </w:t>
      </w:r>
      <w:r w:rsidR="005B4474">
        <w:rPr>
          <w:b/>
          <w:bCs/>
          <w:lang w:val="en-US"/>
        </w:rPr>
        <w:t xml:space="preserve">triggering resync via </w:t>
      </w:r>
      <w:r w:rsidR="000E55A2">
        <w:rPr>
          <w:b/>
          <w:bCs/>
          <w:lang w:val="en-US"/>
        </w:rPr>
        <w:t xml:space="preserve">UL </w:t>
      </w:r>
      <w:r w:rsidR="003237E8">
        <w:rPr>
          <w:b/>
          <w:bCs/>
          <w:lang w:val="en-US"/>
        </w:rPr>
        <w:t>MAC-CE</w:t>
      </w:r>
      <w:r w:rsidR="005B4474">
        <w:rPr>
          <w:b/>
          <w:bCs/>
          <w:lang w:val="en-US"/>
        </w:rPr>
        <w:t xml:space="preserve"> rather than RACH</w:t>
      </w:r>
      <w:r w:rsidR="000E55A2">
        <w:rPr>
          <w:b/>
          <w:bCs/>
          <w:lang w:val="en-US"/>
        </w:rPr>
        <w:t xml:space="preserve"> preamble</w:t>
      </w:r>
      <w:r w:rsidR="005B4474">
        <w:rPr>
          <w:b/>
          <w:bCs/>
          <w:lang w:val="en-US"/>
        </w:rPr>
        <w:t>.</w:t>
      </w:r>
    </w:p>
    <w:p w14:paraId="0D23C995" w14:textId="77777777" w:rsidR="00DB4248" w:rsidRPr="000F30BC" w:rsidRDefault="00DB4248" w:rsidP="00713634">
      <w:pPr>
        <w:rPr>
          <w:b/>
          <w:bCs/>
          <w:lang w:val="en-US"/>
        </w:rPr>
      </w:pPr>
    </w:p>
    <w:p w14:paraId="23DA704C" w14:textId="4D63F106" w:rsidR="0096408F" w:rsidRDefault="0096408F" w:rsidP="0096408F">
      <w:pPr>
        <w:pStyle w:val="Heading1"/>
      </w:pPr>
      <w:r>
        <w:t>Conclusion</w:t>
      </w:r>
    </w:p>
    <w:p w14:paraId="250BD53F" w14:textId="5D2F332B" w:rsidR="0096408F" w:rsidRDefault="00561CD2" w:rsidP="0096408F">
      <w:pPr>
        <w:spacing w:after="0"/>
      </w:pPr>
      <w:r>
        <w:t xml:space="preserve">This contribution discussed </w:t>
      </w:r>
      <w:r w:rsidR="00C01E8E">
        <w:t>This contribution discusses the topics P1 to P</w:t>
      </w:r>
      <w:r w:rsidR="00BC07C5">
        <w:t>3</w:t>
      </w:r>
      <w:r w:rsidR="00C01E8E">
        <w:t xml:space="preserve"> as well as conditional RRC execution for group mobility and RACH-less handover. </w:t>
      </w:r>
      <w:r w:rsidR="005A73AD">
        <w:t xml:space="preserve">The following </w:t>
      </w:r>
      <w:r w:rsidR="00C01E8E">
        <w:t xml:space="preserve">observations and </w:t>
      </w:r>
      <w:r w:rsidR="005A73AD">
        <w:t>proposals have been made:</w:t>
      </w:r>
    </w:p>
    <w:p w14:paraId="1218CB77" w14:textId="77777777" w:rsidR="00591100" w:rsidRDefault="00591100" w:rsidP="00591100">
      <w:pPr>
        <w:spacing w:after="120"/>
        <w:rPr>
          <w:b/>
          <w:bCs/>
        </w:rPr>
      </w:pPr>
    </w:p>
    <w:p w14:paraId="2E8D140C" w14:textId="77777777" w:rsidR="00EE78CE" w:rsidRPr="00903DD4" w:rsidRDefault="00EE78CE" w:rsidP="00BC07C5">
      <w:pPr>
        <w:spacing w:after="0"/>
        <w:rPr>
          <w:b/>
          <w:bCs/>
        </w:rPr>
      </w:pPr>
      <w:r w:rsidRPr="00903DD4">
        <w:rPr>
          <w:b/>
          <w:bCs/>
        </w:rPr>
        <w:t xml:space="preserve">Observation </w:t>
      </w:r>
      <w:r>
        <w:rPr>
          <w:b/>
          <w:bCs/>
        </w:rPr>
        <w:t>1</w:t>
      </w:r>
      <w:r w:rsidRPr="00903DD4">
        <w:rPr>
          <w:b/>
          <w:bCs/>
        </w:rPr>
        <w:t xml:space="preserve">: The mobility-state-dependent cell (re-)selection criteria defined in TS 38.304 </w:t>
      </w:r>
      <w:proofErr w:type="gramStart"/>
      <w:r w:rsidRPr="00903DD4">
        <w:rPr>
          <w:b/>
          <w:bCs/>
        </w:rPr>
        <w:t>are based on the assumption</w:t>
      </w:r>
      <w:proofErr w:type="gramEnd"/>
      <w:r w:rsidRPr="00903DD4">
        <w:rPr>
          <w:b/>
          <w:bCs/>
        </w:rPr>
        <w:t xml:space="preserve"> that cells are stationary.</w:t>
      </w:r>
    </w:p>
    <w:p w14:paraId="7546E5ED" w14:textId="77777777" w:rsidR="00EE78CE" w:rsidRPr="00903DD4" w:rsidRDefault="00EE78CE" w:rsidP="00BC07C5">
      <w:pPr>
        <w:spacing w:after="0"/>
        <w:rPr>
          <w:b/>
          <w:bCs/>
        </w:rPr>
      </w:pPr>
    </w:p>
    <w:p w14:paraId="3BEF9F92" w14:textId="77777777" w:rsidR="00EE78CE" w:rsidRPr="00903DD4" w:rsidRDefault="00EE78CE" w:rsidP="00BC07C5">
      <w:pPr>
        <w:spacing w:after="0"/>
        <w:rPr>
          <w:b/>
          <w:bCs/>
        </w:rPr>
      </w:pPr>
      <w:r w:rsidRPr="00903DD4">
        <w:rPr>
          <w:b/>
          <w:bCs/>
        </w:rPr>
        <w:t xml:space="preserve">Observation </w:t>
      </w:r>
      <w:r>
        <w:rPr>
          <w:b/>
          <w:bCs/>
        </w:rPr>
        <w:t>2</w:t>
      </w:r>
      <w:r w:rsidRPr="00903DD4">
        <w:rPr>
          <w:b/>
          <w:bCs/>
        </w:rPr>
        <w:t>: The mobility-state-dependent cell (re-)selection criteria defined in TS 38.304 may lead to suboptimal outcome if applied to moving cells or a mix of stationary and moving cells.</w:t>
      </w:r>
    </w:p>
    <w:p w14:paraId="72C98239" w14:textId="77777777" w:rsidR="00EE78CE" w:rsidRPr="00903DD4" w:rsidRDefault="00EE78CE" w:rsidP="00BC07C5">
      <w:pPr>
        <w:spacing w:after="0"/>
      </w:pPr>
    </w:p>
    <w:p w14:paraId="03CA7D32" w14:textId="77777777" w:rsidR="00EE78CE" w:rsidRPr="00903DD4" w:rsidRDefault="00EE78CE" w:rsidP="00BC07C5">
      <w:pPr>
        <w:spacing w:after="0"/>
        <w:rPr>
          <w:b/>
          <w:bCs/>
        </w:rPr>
      </w:pPr>
      <w:r w:rsidRPr="00903DD4">
        <w:rPr>
          <w:b/>
          <w:bCs/>
        </w:rPr>
        <w:t xml:space="preserve">Observation 3: In presence of IAB-nodes </w:t>
      </w:r>
      <w:r>
        <w:rPr>
          <w:b/>
          <w:bCs/>
        </w:rPr>
        <w:t>that move</w:t>
      </w:r>
      <w:r w:rsidRPr="00903DD4">
        <w:rPr>
          <w:b/>
          <w:bCs/>
        </w:rPr>
        <w:t xml:space="preserve"> with significant speed, the mobile-state measurements by the legacy UE may </w:t>
      </w:r>
      <w:r>
        <w:rPr>
          <w:b/>
          <w:bCs/>
        </w:rPr>
        <w:t>cause</w:t>
      </w:r>
      <w:r w:rsidRPr="00903DD4">
        <w:rPr>
          <w:b/>
          <w:bCs/>
        </w:rPr>
        <w:t xml:space="preserve"> conflicting observations leading to sub-optimal mobility-state classifications.</w:t>
      </w:r>
    </w:p>
    <w:p w14:paraId="03506068" w14:textId="77777777" w:rsidR="00903DD4" w:rsidRDefault="00903DD4" w:rsidP="00BC07C5">
      <w:pPr>
        <w:spacing w:after="0"/>
      </w:pPr>
    </w:p>
    <w:p w14:paraId="28F28247" w14:textId="77777777" w:rsidR="00EE78CE" w:rsidRPr="00903DD4" w:rsidRDefault="00EE78CE" w:rsidP="00BC07C5">
      <w:pPr>
        <w:spacing w:after="0"/>
        <w:rPr>
          <w:b/>
          <w:bCs/>
        </w:rPr>
      </w:pPr>
      <w:r w:rsidRPr="00903DD4">
        <w:rPr>
          <w:b/>
          <w:bCs/>
        </w:rPr>
        <w:t xml:space="preserve">Observation 4: In presence of IAB-nodes moving with significant speed, the Rel-18 UE can make more accurate mobility-state observations with respect to its absolute speed </w:t>
      </w:r>
      <w:r>
        <w:rPr>
          <w:b/>
          <w:bCs/>
        </w:rPr>
        <w:t>as well as its</w:t>
      </w:r>
      <w:r w:rsidRPr="00903DD4">
        <w:rPr>
          <w:b/>
          <w:bCs/>
        </w:rPr>
        <w:t xml:space="preserve"> relative speed with respect to a mobile IAB-node.</w:t>
      </w:r>
    </w:p>
    <w:p w14:paraId="486D48B2" w14:textId="77777777" w:rsidR="00EE78CE" w:rsidRDefault="00EE78CE" w:rsidP="00BC07C5">
      <w:pPr>
        <w:spacing w:after="0"/>
        <w:rPr>
          <w:b/>
          <w:bCs/>
        </w:rPr>
      </w:pPr>
    </w:p>
    <w:p w14:paraId="2D8A65CB" w14:textId="77777777" w:rsidR="00EE78CE" w:rsidRPr="00A25F51" w:rsidRDefault="00EE78CE" w:rsidP="00BC07C5">
      <w:pPr>
        <w:spacing w:after="0"/>
        <w:rPr>
          <w:b/>
          <w:bCs/>
        </w:rPr>
      </w:pPr>
      <w:r w:rsidRPr="00A25F51">
        <w:rPr>
          <w:b/>
          <w:bCs/>
        </w:rPr>
        <w:t xml:space="preserve">Observation 5: There are many benefits for the </w:t>
      </w:r>
      <w:r>
        <w:rPr>
          <w:b/>
          <w:bCs/>
        </w:rPr>
        <w:t>IAB-donor</w:t>
      </w:r>
      <w:r w:rsidRPr="00A25F51">
        <w:rPr>
          <w:b/>
          <w:bCs/>
        </w:rPr>
        <w:t xml:space="preserve"> to obtain the </w:t>
      </w:r>
      <w:r>
        <w:rPr>
          <w:b/>
          <w:bCs/>
        </w:rPr>
        <w:t>“</w:t>
      </w:r>
      <w:r w:rsidRPr="00A25F51">
        <w:rPr>
          <w:b/>
          <w:bCs/>
        </w:rPr>
        <w:t>mobile-IAB</w:t>
      </w:r>
      <w:r>
        <w:rPr>
          <w:b/>
          <w:bCs/>
        </w:rPr>
        <w:t>” status</w:t>
      </w:r>
      <w:r w:rsidRPr="00A25F51">
        <w:rPr>
          <w:b/>
          <w:bCs/>
        </w:rPr>
        <w:t xml:space="preserve"> indication </w:t>
      </w:r>
    </w:p>
    <w:p w14:paraId="1CA861C4" w14:textId="77777777" w:rsidR="00EE78CE" w:rsidRDefault="00EE78CE" w:rsidP="00BC07C5">
      <w:pPr>
        <w:spacing w:after="0"/>
        <w:rPr>
          <w:b/>
          <w:bCs/>
        </w:rPr>
      </w:pPr>
    </w:p>
    <w:p w14:paraId="283DD734" w14:textId="77777777" w:rsidR="00EE78CE" w:rsidRDefault="00EE78CE" w:rsidP="00BC07C5">
      <w:pPr>
        <w:spacing w:after="0"/>
        <w:rPr>
          <w:b/>
          <w:bCs/>
        </w:rPr>
      </w:pPr>
      <w:r w:rsidRPr="00A25F51">
        <w:rPr>
          <w:b/>
          <w:bCs/>
        </w:rPr>
        <w:t xml:space="preserve">Observation </w:t>
      </w:r>
      <w:r>
        <w:rPr>
          <w:b/>
          <w:bCs/>
        </w:rPr>
        <w:t>6</w:t>
      </w:r>
      <w:r w:rsidRPr="00A25F51">
        <w:rPr>
          <w:b/>
          <w:bCs/>
        </w:rPr>
        <w:t xml:space="preserve">: </w:t>
      </w:r>
      <w:r>
        <w:rPr>
          <w:b/>
          <w:bCs/>
        </w:rPr>
        <w:t>Since the IAB-MT may connect to a different IAB-donor than the co-located IAB-DU, both IAB-donors need to be aware of the IAB-node’s “mobile-IAB” status.</w:t>
      </w:r>
    </w:p>
    <w:p w14:paraId="31558307" w14:textId="77777777" w:rsidR="00EE78CE" w:rsidRDefault="00EE78CE" w:rsidP="00BC07C5">
      <w:pPr>
        <w:spacing w:after="0"/>
        <w:rPr>
          <w:b/>
          <w:bCs/>
        </w:rPr>
      </w:pPr>
    </w:p>
    <w:p w14:paraId="2D390F6C" w14:textId="77777777" w:rsidR="00EE78CE" w:rsidRPr="00781FA2" w:rsidRDefault="00EE78CE" w:rsidP="00BC07C5">
      <w:pPr>
        <w:spacing w:after="0"/>
        <w:rPr>
          <w:b/>
          <w:bCs/>
        </w:rPr>
      </w:pPr>
      <w:r w:rsidRPr="00781FA2">
        <w:rPr>
          <w:b/>
          <w:bCs/>
        </w:rPr>
        <w:t>Observation 7: The two logical cells need to broadcast different NCGIs since they belong to different IAB-donor-CUs.</w:t>
      </w:r>
    </w:p>
    <w:p w14:paraId="5825CBB0" w14:textId="77777777" w:rsidR="00BC07C5" w:rsidRDefault="00BC07C5" w:rsidP="00BC07C5">
      <w:pPr>
        <w:spacing w:after="0"/>
        <w:rPr>
          <w:b/>
          <w:bCs/>
        </w:rPr>
      </w:pPr>
    </w:p>
    <w:p w14:paraId="156786DF" w14:textId="3C605EE8" w:rsidR="00EE78CE" w:rsidRDefault="00EE78CE" w:rsidP="00BC07C5">
      <w:pPr>
        <w:spacing w:after="0"/>
        <w:rPr>
          <w:b/>
          <w:bCs/>
        </w:rPr>
      </w:pPr>
      <w:r w:rsidRPr="00781FA2">
        <w:rPr>
          <w:b/>
          <w:bCs/>
        </w:rPr>
        <w:t xml:space="preserve">Observation </w:t>
      </w:r>
      <w:r>
        <w:rPr>
          <w:b/>
          <w:bCs/>
        </w:rPr>
        <w:t>8</w:t>
      </w:r>
      <w:r w:rsidRPr="00781FA2">
        <w:rPr>
          <w:b/>
          <w:bCs/>
        </w:rPr>
        <w:t xml:space="preserve">: </w:t>
      </w:r>
      <w:r>
        <w:rPr>
          <w:b/>
          <w:bCs/>
        </w:rPr>
        <w:t>Present specification prohibits the physical cell to broadcast two different NCGIs belonging to the same PLMN/NPN.</w:t>
      </w:r>
    </w:p>
    <w:p w14:paraId="1974B24B" w14:textId="02668CB3" w:rsidR="00EE78CE" w:rsidRDefault="00EE78CE" w:rsidP="00BC07C5">
      <w:pPr>
        <w:spacing w:after="0"/>
        <w:rPr>
          <w:b/>
          <w:bCs/>
        </w:rPr>
      </w:pPr>
    </w:p>
    <w:p w14:paraId="33306ABF" w14:textId="77777777" w:rsidR="00EE78CE" w:rsidRDefault="00EE78CE" w:rsidP="00BC07C5">
      <w:pPr>
        <w:spacing w:after="0"/>
        <w:rPr>
          <w:b/>
          <w:bCs/>
        </w:rPr>
      </w:pPr>
    </w:p>
    <w:p w14:paraId="1D20569F" w14:textId="389078BD" w:rsidR="00EE78CE" w:rsidRPr="00903DD4" w:rsidRDefault="00EE78CE" w:rsidP="00BC07C5">
      <w:pPr>
        <w:spacing w:after="0"/>
        <w:rPr>
          <w:b/>
          <w:bCs/>
        </w:rPr>
      </w:pPr>
      <w:r w:rsidRPr="00903DD4">
        <w:rPr>
          <w:b/>
          <w:bCs/>
        </w:rPr>
        <w:t>Proposal 1: The mobile IAB-node cell to broadcast a “mobile-IAB</w:t>
      </w:r>
      <w:r>
        <w:rPr>
          <w:b/>
          <w:bCs/>
        </w:rPr>
        <w:t xml:space="preserve">” </w:t>
      </w:r>
      <w:r w:rsidRPr="00903DD4">
        <w:rPr>
          <w:b/>
          <w:bCs/>
        </w:rPr>
        <w:t>status indicator.</w:t>
      </w:r>
    </w:p>
    <w:p w14:paraId="763ED1F1" w14:textId="77777777" w:rsidR="00EE78CE" w:rsidRDefault="00EE78CE" w:rsidP="00BC07C5">
      <w:pPr>
        <w:spacing w:after="0"/>
        <w:rPr>
          <w:b/>
          <w:bCs/>
        </w:rPr>
      </w:pPr>
    </w:p>
    <w:p w14:paraId="6775B730" w14:textId="2CE8B399" w:rsidR="00EE78CE" w:rsidRDefault="00EE78CE" w:rsidP="00BC07C5">
      <w:pPr>
        <w:spacing w:after="0"/>
        <w:rPr>
          <w:b/>
          <w:bCs/>
        </w:rPr>
      </w:pPr>
      <w:r>
        <w:rPr>
          <w:b/>
          <w:bCs/>
        </w:rPr>
        <w:t xml:space="preserve">Proposal 2a: RAN2 confirms that the “mobile-IAB” status to be indicated to the IAB-node’s donor-CU. </w:t>
      </w:r>
    </w:p>
    <w:p w14:paraId="4E26AA4E" w14:textId="77777777" w:rsidR="00BC07C5" w:rsidRDefault="00BC07C5" w:rsidP="00BC07C5">
      <w:pPr>
        <w:spacing w:after="0"/>
        <w:rPr>
          <w:b/>
          <w:bCs/>
        </w:rPr>
      </w:pPr>
    </w:p>
    <w:p w14:paraId="2A01895A" w14:textId="4E131C04" w:rsidR="00EE78CE" w:rsidRDefault="00EE78CE" w:rsidP="00BC07C5">
      <w:pPr>
        <w:spacing w:after="0"/>
        <w:rPr>
          <w:b/>
          <w:bCs/>
        </w:rPr>
      </w:pPr>
      <w:r>
        <w:rPr>
          <w:b/>
          <w:bCs/>
        </w:rPr>
        <w:t xml:space="preserve">Proposal 2b: In case IAB-DU and IAB-MT connect to separate IAB-donor-CUs, they both need to be informed about the IAB-node’s “mobile IAB” status. </w:t>
      </w:r>
    </w:p>
    <w:p w14:paraId="6B3F4617" w14:textId="77777777" w:rsidR="00EE78CE" w:rsidRDefault="00EE78CE" w:rsidP="00BC07C5">
      <w:pPr>
        <w:spacing w:after="0"/>
        <w:rPr>
          <w:b/>
          <w:bCs/>
        </w:rPr>
      </w:pPr>
    </w:p>
    <w:p w14:paraId="209B5708" w14:textId="77777777" w:rsidR="00EE78CE" w:rsidRPr="009556D0" w:rsidRDefault="00EE78CE" w:rsidP="00BC07C5">
      <w:pPr>
        <w:spacing w:after="0"/>
        <w:rPr>
          <w:b/>
          <w:bCs/>
        </w:rPr>
      </w:pPr>
      <w:r w:rsidRPr="009556D0">
        <w:rPr>
          <w:b/>
          <w:bCs/>
        </w:rPr>
        <w:t>Proposal 3: For inter-donor DU migration, the two logical cells to represent separate physical cells.</w:t>
      </w:r>
    </w:p>
    <w:p w14:paraId="785CB47E" w14:textId="77777777" w:rsidR="00BC07C5" w:rsidRDefault="00EE78CE" w:rsidP="00BC07C5">
      <w:pPr>
        <w:spacing w:after="0"/>
        <w:rPr>
          <w:b/>
          <w:bCs/>
          <w:lang w:val="en-US"/>
        </w:rPr>
      </w:pPr>
      <w:r w:rsidRPr="00903DD4">
        <w:rPr>
          <w:b/>
          <w:bCs/>
        </w:rPr>
        <w:br/>
      </w:r>
      <w:r w:rsidR="00BC07C5" w:rsidRPr="000F30BC">
        <w:rPr>
          <w:b/>
          <w:bCs/>
          <w:lang w:val="en-US"/>
        </w:rPr>
        <w:t>Proposal 4:  For group handover, RAN2 to discuss pre</w:t>
      </w:r>
      <w:r w:rsidR="00BC07C5">
        <w:rPr>
          <w:b/>
          <w:bCs/>
          <w:lang w:val="en-US"/>
        </w:rPr>
        <w:t>-</w:t>
      </w:r>
      <w:r w:rsidR="00BC07C5" w:rsidRPr="000F30BC">
        <w:rPr>
          <w:b/>
          <w:bCs/>
          <w:lang w:val="en-US"/>
        </w:rPr>
        <w:t xml:space="preserve">emptive delivery of RRC Reconfiguration messages considering </w:t>
      </w:r>
      <w:r w:rsidR="00BC07C5">
        <w:rPr>
          <w:b/>
          <w:bCs/>
          <w:lang w:val="en-US"/>
        </w:rPr>
        <w:t xml:space="preserve">the following options: </w:t>
      </w:r>
    </w:p>
    <w:p w14:paraId="17854142" w14:textId="77777777" w:rsidR="00BC07C5" w:rsidRDefault="00BC07C5" w:rsidP="00BC07C5">
      <w:pPr>
        <w:spacing w:after="0"/>
        <w:ind w:left="432"/>
        <w:rPr>
          <w:b/>
          <w:bCs/>
          <w:lang w:val="en-US"/>
        </w:rPr>
      </w:pPr>
      <w:r>
        <w:rPr>
          <w:b/>
          <w:bCs/>
          <w:lang w:val="en-US"/>
        </w:rPr>
        <w:t xml:space="preserve">1) message withholding </w:t>
      </w:r>
      <w:r w:rsidRPr="000F30BC">
        <w:rPr>
          <w:b/>
          <w:bCs/>
          <w:lang w:val="en-US"/>
        </w:rPr>
        <w:t xml:space="preserve">by the logical source IAB-DU </w:t>
      </w:r>
      <w:r>
        <w:rPr>
          <w:b/>
          <w:bCs/>
          <w:lang w:val="en-US"/>
        </w:rPr>
        <w:t xml:space="preserve">with </w:t>
      </w:r>
      <w:r w:rsidRPr="000F30BC">
        <w:rPr>
          <w:b/>
          <w:bCs/>
          <w:lang w:val="en-US"/>
        </w:rPr>
        <w:t>conditional delivery</w:t>
      </w:r>
      <w:r>
        <w:rPr>
          <w:b/>
          <w:bCs/>
          <w:lang w:val="en-US"/>
        </w:rPr>
        <w:t>, e.g., upon on MT migration,</w:t>
      </w:r>
      <w:r w:rsidRPr="000F30BC">
        <w:rPr>
          <w:b/>
          <w:bCs/>
          <w:lang w:val="en-US"/>
        </w:rPr>
        <w:t xml:space="preserve"> </w:t>
      </w:r>
    </w:p>
    <w:p w14:paraId="6E2541A3" w14:textId="77777777" w:rsidR="00BC07C5" w:rsidRDefault="00BC07C5" w:rsidP="00BC07C5">
      <w:pPr>
        <w:spacing w:after="0"/>
        <w:ind w:left="432"/>
        <w:rPr>
          <w:b/>
          <w:bCs/>
          <w:lang w:val="en-US"/>
        </w:rPr>
      </w:pPr>
      <w:r>
        <w:rPr>
          <w:b/>
          <w:bCs/>
          <w:lang w:val="en-US"/>
        </w:rPr>
        <w:t>2)</w:t>
      </w:r>
      <w:r w:rsidRPr="000F30BC">
        <w:rPr>
          <w:b/>
          <w:bCs/>
          <w:lang w:val="en-US"/>
        </w:rPr>
        <w:t xml:space="preserve"> conditional execution by the UE</w:t>
      </w:r>
      <w:r>
        <w:rPr>
          <w:b/>
          <w:bCs/>
          <w:lang w:val="en-US"/>
        </w:rPr>
        <w:t xml:space="preserve"> based on, e.g., a broadcast indication such as SIB indication of service time or DCI indication of MT-migration,</w:t>
      </w:r>
    </w:p>
    <w:p w14:paraId="2654010E" w14:textId="77777777" w:rsidR="00BC07C5" w:rsidRDefault="00BC07C5" w:rsidP="00BC07C5">
      <w:pPr>
        <w:spacing w:after="0"/>
        <w:ind w:left="432"/>
        <w:rPr>
          <w:b/>
          <w:bCs/>
          <w:lang w:val="en-US"/>
        </w:rPr>
      </w:pPr>
      <w:r>
        <w:rPr>
          <w:b/>
          <w:bCs/>
          <w:lang w:val="en-US"/>
        </w:rPr>
        <w:t>3) legacy CHO using source-cell power down as trigger for handover.</w:t>
      </w:r>
    </w:p>
    <w:p w14:paraId="7A7CB42F" w14:textId="7FB92CDB" w:rsidR="00EE78CE" w:rsidRPr="00BC07C5" w:rsidRDefault="00EE78CE" w:rsidP="00BC07C5">
      <w:pPr>
        <w:spacing w:after="0"/>
        <w:rPr>
          <w:b/>
          <w:bCs/>
          <w:lang w:val="en-US"/>
        </w:rPr>
      </w:pPr>
    </w:p>
    <w:p w14:paraId="186FB247" w14:textId="77777777" w:rsidR="00BC07C5" w:rsidRDefault="00BC07C5" w:rsidP="00BC07C5">
      <w:pPr>
        <w:spacing w:after="0"/>
        <w:rPr>
          <w:b/>
          <w:bCs/>
          <w:lang w:val="en-US"/>
        </w:rPr>
      </w:pPr>
      <w:r w:rsidRPr="000F30BC">
        <w:rPr>
          <w:b/>
          <w:bCs/>
          <w:lang w:val="en-US"/>
        </w:rPr>
        <w:t xml:space="preserve">Proposal </w:t>
      </w:r>
      <w:r>
        <w:rPr>
          <w:b/>
          <w:bCs/>
          <w:lang w:val="en-US"/>
        </w:rPr>
        <w:t>5</w:t>
      </w:r>
      <w:r w:rsidRPr="000F30BC">
        <w:rPr>
          <w:b/>
          <w:bCs/>
          <w:lang w:val="en-US"/>
        </w:rPr>
        <w:t xml:space="preserve">:  For </w:t>
      </w:r>
      <w:r>
        <w:rPr>
          <w:b/>
          <w:bCs/>
          <w:lang w:val="en-US"/>
        </w:rPr>
        <w:t>RACH-less</w:t>
      </w:r>
      <w:r w:rsidRPr="000F30BC">
        <w:rPr>
          <w:b/>
          <w:bCs/>
          <w:lang w:val="en-US"/>
        </w:rPr>
        <w:t xml:space="preserve"> handover</w:t>
      </w:r>
      <w:r>
        <w:rPr>
          <w:b/>
          <w:bCs/>
          <w:lang w:val="en-US"/>
        </w:rPr>
        <w:t xml:space="preserve"> during inter-donor IAB-DU migration</w:t>
      </w:r>
      <w:r w:rsidRPr="000F30BC">
        <w:rPr>
          <w:b/>
          <w:bCs/>
          <w:lang w:val="en-US"/>
        </w:rPr>
        <w:t xml:space="preserve">, RAN2 to discuss </w:t>
      </w:r>
      <w:r>
        <w:rPr>
          <w:b/>
          <w:bCs/>
          <w:lang w:val="en-US"/>
        </w:rPr>
        <w:t>the two options: 1) performing the UE security update after handover completion, and 2) triggering resync via UL MAC-CE rather than RACH preamble.</w:t>
      </w:r>
    </w:p>
    <w:p w14:paraId="1602390B" w14:textId="77777777" w:rsidR="00591100" w:rsidRPr="00591100" w:rsidRDefault="00591100" w:rsidP="003A5C13">
      <w:pPr>
        <w:spacing w:after="120"/>
      </w:pPr>
    </w:p>
    <w:p w14:paraId="7F9A5B2E" w14:textId="77777777" w:rsidR="00CD4C7B" w:rsidRPr="00320A6B" w:rsidRDefault="00CD4C7B" w:rsidP="00CD4C7B">
      <w:pPr>
        <w:pStyle w:val="Heading1"/>
      </w:pPr>
      <w:r w:rsidRPr="00320A6B">
        <w:t>References</w:t>
      </w:r>
    </w:p>
    <w:p w14:paraId="18A46778" w14:textId="0B0DED92" w:rsidR="00167A87" w:rsidRDefault="00BF49E1"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 xml:space="preserve">Chairman </w:t>
      </w:r>
      <w:proofErr w:type="gramStart"/>
      <w:r w:rsidR="006A48C8">
        <w:rPr>
          <w:lang w:eastAsia="zh-CN"/>
        </w:rPr>
        <w:t>N</w:t>
      </w:r>
      <w:r>
        <w:rPr>
          <w:lang w:eastAsia="zh-CN"/>
        </w:rPr>
        <w:t>otes</w:t>
      </w:r>
      <w:r w:rsidR="00167A87" w:rsidRPr="00F04C08">
        <w:rPr>
          <w:lang w:val="en-US" w:eastAsia="zh-CN"/>
        </w:rPr>
        <w:t>;</w:t>
      </w:r>
      <w:proofErr w:type="gramEnd"/>
      <w:r w:rsidR="00167A87" w:rsidRPr="00F04C08">
        <w:rPr>
          <w:lang w:val="en-US" w:eastAsia="zh-CN"/>
        </w:rPr>
        <w:t xml:space="preserve"> TSG RAN </w:t>
      </w:r>
      <w:r>
        <w:rPr>
          <w:lang w:val="en-US" w:eastAsia="zh-CN"/>
        </w:rPr>
        <w:t xml:space="preserve">WG2 </w:t>
      </w:r>
      <w:r w:rsidR="00167A87" w:rsidRPr="00F04C08">
        <w:rPr>
          <w:lang w:val="en-US" w:eastAsia="zh-CN"/>
        </w:rPr>
        <w:t>Meeting #</w:t>
      </w:r>
      <w:r>
        <w:rPr>
          <w:lang w:val="en-US" w:eastAsia="zh-CN"/>
        </w:rPr>
        <w:t>119e</w:t>
      </w:r>
      <w:r w:rsidR="00167A87" w:rsidRPr="00F04C08">
        <w:rPr>
          <w:lang w:val="en-US" w:eastAsia="zh-CN"/>
        </w:rPr>
        <w:t xml:space="preserve">, </w:t>
      </w:r>
      <w:r>
        <w:rPr>
          <w:lang w:val="en-US" w:eastAsia="zh-CN"/>
        </w:rPr>
        <w:t>August</w:t>
      </w:r>
      <w:r w:rsidR="00167A87" w:rsidRPr="00F04C08">
        <w:rPr>
          <w:lang w:val="en-US" w:eastAsia="zh-CN"/>
        </w:rPr>
        <w:t>, 20</w:t>
      </w:r>
      <w:r w:rsidR="0036720B" w:rsidRPr="00F04C08">
        <w:rPr>
          <w:lang w:val="en-US" w:eastAsia="zh-CN"/>
        </w:rPr>
        <w:t>2</w:t>
      </w:r>
      <w:r w:rsidR="00EA0AAF">
        <w:rPr>
          <w:lang w:val="en-US" w:eastAsia="zh-CN"/>
        </w:rPr>
        <w:t>2</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9795" w14:textId="77777777" w:rsidR="006C7F23" w:rsidRDefault="006C7F23">
      <w:r>
        <w:separator/>
      </w:r>
    </w:p>
  </w:endnote>
  <w:endnote w:type="continuationSeparator" w:id="0">
    <w:p w14:paraId="4B808352" w14:textId="77777777" w:rsidR="006C7F23" w:rsidRDefault="006C7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E9367" w14:textId="77777777" w:rsidR="006C7F23" w:rsidRDefault="006C7F23">
      <w:r>
        <w:separator/>
      </w:r>
    </w:p>
  </w:footnote>
  <w:footnote w:type="continuationSeparator" w:id="0">
    <w:p w14:paraId="210ABD72" w14:textId="77777777" w:rsidR="006C7F23" w:rsidRDefault="006C7F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4461"/>
    <w:multiLevelType w:val="hybridMultilevel"/>
    <w:tmpl w:val="1C880F2A"/>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1B147D"/>
    <w:multiLevelType w:val="hybridMultilevel"/>
    <w:tmpl w:val="49CA4BFC"/>
    <w:lvl w:ilvl="0" w:tplc="DDC8CCD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B6084"/>
    <w:multiLevelType w:val="hybridMultilevel"/>
    <w:tmpl w:val="F3FCC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B778F"/>
    <w:multiLevelType w:val="hybridMultilevel"/>
    <w:tmpl w:val="39DC06A6"/>
    <w:lvl w:ilvl="0" w:tplc="25A6D98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3253C"/>
    <w:multiLevelType w:val="hybridMultilevel"/>
    <w:tmpl w:val="7EA84FA2"/>
    <w:lvl w:ilvl="0" w:tplc="F61EA4F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8336E"/>
    <w:multiLevelType w:val="hybridMultilevel"/>
    <w:tmpl w:val="6374E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61829"/>
    <w:multiLevelType w:val="hybridMultilevel"/>
    <w:tmpl w:val="874273F4"/>
    <w:lvl w:ilvl="0" w:tplc="A0847A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63CD2"/>
    <w:multiLevelType w:val="hybridMultilevel"/>
    <w:tmpl w:val="0F0C8E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1C58A6"/>
    <w:multiLevelType w:val="hybridMultilevel"/>
    <w:tmpl w:val="8CDC4CC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4C174A"/>
    <w:multiLevelType w:val="hybridMultilevel"/>
    <w:tmpl w:val="D9285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4B5A8F"/>
    <w:multiLevelType w:val="hybridMultilevel"/>
    <w:tmpl w:val="F86612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D32941"/>
    <w:multiLevelType w:val="hybridMultilevel"/>
    <w:tmpl w:val="BA48EFDA"/>
    <w:lvl w:ilvl="0" w:tplc="DDC8CCD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E0B83"/>
    <w:multiLevelType w:val="hybridMultilevel"/>
    <w:tmpl w:val="D9CACE7A"/>
    <w:lvl w:ilvl="0" w:tplc="D8E669D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32EFB"/>
    <w:multiLevelType w:val="hybridMultilevel"/>
    <w:tmpl w:val="B7C4494A"/>
    <w:lvl w:ilvl="0" w:tplc="6D26C8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F72AF1"/>
    <w:multiLevelType w:val="hybridMultilevel"/>
    <w:tmpl w:val="20F0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EF7950"/>
    <w:multiLevelType w:val="hybridMultilevel"/>
    <w:tmpl w:val="427037FE"/>
    <w:lvl w:ilvl="0" w:tplc="DDC8CCD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8F5FE0"/>
    <w:multiLevelType w:val="hybridMultilevel"/>
    <w:tmpl w:val="2230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A36AD8"/>
    <w:multiLevelType w:val="hybridMultilevel"/>
    <w:tmpl w:val="713EF4DA"/>
    <w:lvl w:ilvl="0" w:tplc="DDC8CCD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C10572"/>
    <w:multiLevelType w:val="hybridMultilevel"/>
    <w:tmpl w:val="0B2C1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BD7ED8"/>
    <w:multiLevelType w:val="hybridMultilevel"/>
    <w:tmpl w:val="05526BB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5" w15:restartNumberingAfterBreak="0">
    <w:nsid w:val="51BA1C9E"/>
    <w:multiLevelType w:val="hybridMultilevel"/>
    <w:tmpl w:val="990AC310"/>
    <w:lvl w:ilvl="0" w:tplc="DDC8CCD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C964B0"/>
    <w:multiLevelType w:val="hybridMultilevel"/>
    <w:tmpl w:val="F2B6EB0C"/>
    <w:lvl w:ilvl="0" w:tplc="0BA6432A">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A61C89"/>
    <w:multiLevelType w:val="hybridMultilevel"/>
    <w:tmpl w:val="B0C4EFBC"/>
    <w:lvl w:ilvl="0" w:tplc="0BA6432A">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A50C35"/>
    <w:multiLevelType w:val="hybridMultilevel"/>
    <w:tmpl w:val="F72A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8A3064"/>
    <w:multiLevelType w:val="hybridMultilevel"/>
    <w:tmpl w:val="2C88D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E748AB"/>
    <w:multiLevelType w:val="hybridMultilevel"/>
    <w:tmpl w:val="33862BCE"/>
    <w:lvl w:ilvl="0" w:tplc="DDC8CCD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D15E02"/>
    <w:multiLevelType w:val="hybridMultilevel"/>
    <w:tmpl w:val="86E6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F7745F"/>
    <w:multiLevelType w:val="hybridMultilevel"/>
    <w:tmpl w:val="424CD77A"/>
    <w:lvl w:ilvl="0" w:tplc="DDC8CCD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4900"/>
        </w:tabs>
        <w:ind w:left="-4900" w:hanging="360"/>
      </w:pPr>
      <w:rPr>
        <w:rFonts w:ascii="Symbol" w:hAnsi="Symbol" w:hint="default"/>
        <w:b/>
        <w:i w:val="0"/>
        <w:color w:val="auto"/>
        <w:sz w:val="22"/>
      </w:rPr>
    </w:lvl>
    <w:lvl w:ilvl="1" w:tplc="04090003">
      <w:start w:val="1"/>
      <w:numFmt w:val="bullet"/>
      <w:lvlText w:val="o"/>
      <w:lvlJc w:val="left"/>
      <w:pPr>
        <w:tabs>
          <w:tab w:val="num" w:pos="-4090"/>
        </w:tabs>
        <w:ind w:left="-4090" w:hanging="360"/>
      </w:pPr>
      <w:rPr>
        <w:rFonts w:ascii="Courier New" w:hAnsi="Courier New" w:cs="Courier New" w:hint="default"/>
      </w:rPr>
    </w:lvl>
    <w:lvl w:ilvl="2" w:tplc="04090005" w:tentative="1">
      <w:start w:val="1"/>
      <w:numFmt w:val="bullet"/>
      <w:lvlText w:val=""/>
      <w:lvlJc w:val="left"/>
      <w:pPr>
        <w:tabs>
          <w:tab w:val="num" w:pos="-3370"/>
        </w:tabs>
        <w:ind w:left="-3370" w:hanging="360"/>
      </w:pPr>
      <w:rPr>
        <w:rFonts w:ascii="Wingdings" w:hAnsi="Wingdings" w:hint="default"/>
      </w:rPr>
    </w:lvl>
    <w:lvl w:ilvl="3" w:tplc="04090001" w:tentative="1">
      <w:start w:val="1"/>
      <w:numFmt w:val="bullet"/>
      <w:lvlText w:val=""/>
      <w:lvlJc w:val="left"/>
      <w:pPr>
        <w:tabs>
          <w:tab w:val="num" w:pos="-2650"/>
        </w:tabs>
        <w:ind w:left="-2650" w:hanging="360"/>
      </w:pPr>
      <w:rPr>
        <w:rFonts w:ascii="Symbol" w:hAnsi="Symbol" w:hint="default"/>
      </w:rPr>
    </w:lvl>
    <w:lvl w:ilvl="4" w:tplc="04090003" w:tentative="1">
      <w:start w:val="1"/>
      <w:numFmt w:val="bullet"/>
      <w:lvlText w:val="o"/>
      <w:lvlJc w:val="left"/>
      <w:pPr>
        <w:tabs>
          <w:tab w:val="num" w:pos="-1930"/>
        </w:tabs>
        <w:ind w:left="-1930" w:hanging="360"/>
      </w:pPr>
      <w:rPr>
        <w:rFonts w:ascii="Courier New" w:hAnsi="Courier New" w:cs="Courier New" w:hint="default"/>
      </w:rPr>
    </w:lvl>
    <w:lvl w:ilvl="5" w:tplc="04090005" w:tentative="1">
      <w:start w:val="1"/>
      <w:numFmt w:val="bullet"/>
      <w:lvlText w:val=""/>
      <w:lvlJc w:val="left"/>
      <w:pPr>
        <w:tabs>
          <w:tab w:val="num" w:pos="-1210"/>
        </w:tabs>
        <w:ind w:left="-1210" w:hanging="360"/>
      </w:pPr>
      <w:rPr>
        <w:rFonts w:ascii="Wingdings" w:hAnsi="Wingdings" w:hint="default"/>
      </w:rPr>
    </w:lvl>
    <w:lvl w:ilvl="6" w:tplc="04090001" w:tentative="1">
      <w:start w:val="1"/>
      <w:numFmt w:val="bullet"/>
      <w:lvlText w:val=""/>
      <w:lvlJc w:val="left"/>
      <w:pPr>
        <w:tabs>
          <w:tab w:val="num" w:pos="-490"/>
        </w:tabs>
        <w:ind w:left="-490" w:hanging="360"/>
      </w:pPr>
      <w:rPr>
        <w:rFonts w:ascii="Symbol" w:hAnsi="Symbol" w:hint="default"/>
      </w:rPr>
    </w:lvl>
    <w:lvl w:ilvl="7" w:tplc="04090003" w:tentative="1">
      <w:start w:val="1"/>
      <w:numFmt w:val="bullet"/>
      <w:lvlText w:val="o"/>
      <w:lvlJc w:val="left"/>
      <w:pPr>
        <w:tabs>
          <w:tab w:val="num" w:pos="230"/>
        </w:tabs>
        <w:ind w:left="230" w:hanging="360"/>
      </w:pPr>
      <w:rPr>
        <w:rFonts w:ascii="Courier New" w:hAnsi="Courier New" w:cs="Courier New" w:hint="default"/>
      </w:rPr>
    </w:lvl>
    <w:lvl w:ilvl="8" w:tplc="04090005" w:tentative="1">
      <w:start w:val="1"/>
      <w:numFmt w:val="bullet"/>
      <w:lvlText w:val=""/>
      <w:lvlJc w:val="left"/>
      <w:pPr>
        <w:tabs>
          <w:tab w:val="num" w:pos="950"/>
        </w:tabs>
        <w:ind w:left="950" w:hanging="360"/>
      </w:pPr>
      <w:rPr>
        <w:rFonts w:ascii="Wingdings" w:hAnsi="Wingdings" w:hint="default"/>
      </w:rPr>
    </w:lvl>
  </w:abstractNum>
  <w:abstractNum w:abstractNumId="38" w15:restartNumberingAfterBreak="0">
    <w:nsid w:val="7CB63732"/>
    <w:multiLevelType w:val="multilevel"/>
    <w:tmpl w:val="89784A8A"/>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37"/>
  </w:num>
  <w:num w:numId="3">
    <w:abstractNumId w:val="27"/>
  </w:num>
  <w:num w:numId="4">
    <w:abstractNumId w:val="10"/>
  </w:num>
  <w:num w:numId="5">
    <w:abstractNumId w:val="0"/>
  </w:num>
  <w:num w:numId="6">
    <w:abstractNumId w:val="29"/>
  </w:num>
  <w:num w:numId="7">
    <w:abstractNumId w:val="26"/>
  </w:num>
  <w:num w:numId="8">
    <w:abstractNumId w:val="38"/>
  </w:num>
  <w:num w:numId="9">
    <w:abstractNumId w:val="18"/>
  </w:num>
  <w:num w:numId="10">
    <w:abstractNumId w:val="32"/>
  </w:num>
  <w:num w:numId="11">
    <w:abstractNumId w:val="33"/>
  </w:num>
  <w:num w:numId="12">
    <w:abstractNumId w:val="4"/>
  </w:num>
  <w:num w:numId="13">
    <w:abstractNumId w:val="23"/>
  </w:num>
  <w:num w:numId="14">
    <w:abstractNumId w:val="20"/>
  </w:num>
  <w:num w:numId="15">
    <w:abstractNumId w:val="30"/>
  </w:num>
  <w:num w:numId="16">
    <w:abstractNumId w:val="16"/>
  </w:num>
  <w:num w:numId="17">
    <w:abstractNumId w:val="22"/>
  </w:num>
  <w:num w:numId="18">
    <w:abstractNumId w:val="28"/>
  </w:num>
  <w:num w:numId="19">
    <w:abstractNumId w:val="35"/>
  </w:num>
  <w:num w:numId="20">
    <w:abstractNumId w:val="2"/>
  </w:num>
  <w:num w:numId="21">
    <w:abstractNumId w:val="3"/>
  </w:num>
  <w:num w:numId="22">
    <w:abstractNumId w:val="9"/>
  </w:num>
  <w:num w:numId="23">
    <w:abstractNumId w:val="12"/>
  </w:num>
  <w:num w:numId="24">
    <w:abstractNumId w:val="6"/>
  </w:num>
  <w:num w:numId="25">
    <w:abstractNumId w:val="15"/>
  </w:num>
  <w:num w:numId="26">
    <w:abstractNumId w:val="5"/>
  </w:num>
  <w:num w:numId="27">
    <w:abstractNumId w:val="31"/>
  </w:num>
  <w:num w:numId="28">
    <w:abstractNumId w:val="7"/>
  </w:num>
  <w:num w:numId="29">
    <w:abstractNumId w:val="8"/>
  </w:num>
  <w:num w:numId="30">
    <w:abstractNumId w:val="11"/>
  </w:num>
  <w:num w:numId="31">
    <w:abstractNumId w:val="37"/>
  </w:num>
  <w:num w:numId="32">
    <w:abstractNumId w:val="24"/>
  </w:num>
  <w:num w:numId="33">
    <w:abstractNumId w:val="14"/>
  </w:num>
  <w:num w:numId="34">
    <w:abstractNumId w:val="25"/>
  </w:num>
  <w:num w:numId="35">
    <w:abstractNumId w:val="34"/>
  </w:num>
  <w:num w:numId="36">
    <w:abstractNumId w:val="19"/>
  </w:num>
  <w:num w:numId="37">
    <w:abstractNumId w:val="13"/>
  </w:num>
  <w:num w:numId="38">
    <w:abstractNumId w:val="1"/>
  </w:num>
  <w:num w:numId="39">
    <w:abstractNumId w:val="21"/>
  </w:num>
  <w:num w:numId="40">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8B0"/>
    <w:rsid w:val="000039F6"/>
    <w:rsid w:val="0000409B"/>
    <w:rsid w:val="000064F6"/>
    <w:rsid w:val="00006EBD"/>
    <w:rsid w:val="00010161"/>
    <w:rsid w:val="00012887"/>
    <w:rsid w:val="00013C23"/>
    <w:rsid w:val="000147A7"/>
    <w:rsid w:val="000152D3"/>
    <w:rsid w:val="00015DE8"/>
    <w:rsid w:val="0001657D"/>
    <w:rsid w:val="0001796A"/>
    <w:rsid w:val="00020686"/>
    <w:rsid w:val="00023FC6"/>
    <w:rsid w:val="00025CE4"/>
    <w:rsid w:val="00026FC4"/>
    <w:rsid w:val="000305FF"/>
    <w:rsid w:val="00030761"/>
    <w:rsid w:val="00030D3B"/>
    <w:rsid w:val="00030DC5"/>
    <w:rsid w:val="00030F55"/>
    <w:rsid w:val="0003101C"/>
    <w:rsid w:val="00032EA4"/>
    <w:rsid w:val="00033397"/>
    <w:rsid w:val="000338DD"/>
    <w:rsid w:val="00034BF8"/>
    <w:rsid w:val="00034D12"/>
    <w:rsid w:val="00035677"/>
    <w:rsid w:val="000365C3"/>
    <w:rsid w:val="000368BE"/>
    <w:rsid w:val="0003767C"/>
    <w:rsid w:val="00037A01"/>
    <w:rsid w:val="00037AFB"/>
    <w:rsid w:val="00040095"/>
    <w:rsid w:val="0004017A"/>
    <w:rsid w:val="0004341F"/>
    <w:rsid w:val="00044ED2"/>
    <w:rsid w:val="00045625"/>
    <w:rsid w:val="00046AE0"/>
    <w:rsid w:val="0004707F"/>
    <w:rsid w:val="0005117E"/>
    <w:rsid w:val="000516D8"/>
    <w:rsid w:val="00051F1E"/>
    <w:rsid w:val="0005270E"/>
    <w:rsid w:val="00056DB2"/>
    <w:rsid w:val="0006135D"/>
    <w:rsid w:val="00061505"/>
    <w:rsid w:val="00065659"/>
    <w:rsid w:val="00065D6B"/>
    <w:rsid w:val="00065DE8"/>
    <w:rsid w:val="00066096"/>
    <w:rsid w:val="00071167"/>
    <w:rsid w:val="000716A1"/>
    <w:rsid w:val="000732E0"/>
    <w:rsid w:val="00073EB1"/>
    <w:rsid w:val="00074261"/>
    <w:rsid w:val="0007762E"/>
    <w:rsid w:val="00077C88"/>
    <w:rsid w:val="00080512"/>
    <w:rsid w:val="000812F8"/>
    <w:rsid w:val="00084591"/>
    <w:rsid w:val="0008762B"/>
    <w:rsid w:val="00087E3D"/>
    <w:rsid w:val="00090401"/>
    <w:rsid w:val="00090468"/>
    <w:rsid w:val="00090CEE"/>
    <w:rsid w:val="000926D3"/>
    <w:rsid w:val="00093164"/>
    <w:rsid w:val="00096258"/>
    <w:rsid w:val="0009788E"/>
    <w:rsid w:val="000A050C"/>
    <w:rsid w:val="000A3F9B"/>
    <w:rsid w:val="000A5AD5"/>
    <w:rsid w:val="000A5FB3"/>
    <w:rsid w:val="000B0C46"/>
    <w:rsid w:val="000B0D71"/>
    <w:rsid w:val="000B19D0"/>
    <w:rsid w:val="000B2CBF"/>
    <w:rsid w:val="000B4310"/>
    <w:rsid w:val="000B4D19"/>
    <w:rsid w:val="000B4F58"/>
    <w:rsid w:val="000B7BCF"/>
    <w:rsid w:val="000C0524"/>
    <w:rsid w:val="000C2CA3"/>
    <w:rsid w:val="000C2D34"/>
    <w:rsid w:val="000C415C"/>
    <w:rsid w:val="000C416C"/>
    <w:rsid w:val="000C4AA7"/>
    <w:rsid w:val="000C522B"/>
    <w:rsid w:val="000C5567"/>
    <w:rsid w:val="000C5DF5"/>
    <w:rsid w:val="000C77C8"/>
    <w:rsid w:val="000C7894"/>
    <w:rsid w:val="000D0B0C"/>
    <w:rsid w:val="000D137A"/>
    <w:rsid w:val="000D30A2"/>
    <w:rsid w:val="000D3C9D"/>
    <w:rsid w:val="000D4A15"/>
    <w:rsid w:val="000D58AB"/>
    <w:rsid w:val="000D6B39"/>
    <w:rsid w:val="000E427B"/>
    <w:rsid w:val="000E49BE"/>
    <w:rsid w:val="000E55A2"/>
    <w:rsid w:val="000E5617"/>
    <w:rsid w:val="000E6697"/>
    <w:rsid w:val="000F03B7"/>
    <w:rsid w:val="000F2F84"/>
    <w:rsid w:val="000F30BC"/>
    <w:rsid w:val="000F342D"/>
    <w:rsid w:val="000F5CC9"/>
    <w:rsid w:val="000F5DDE"/>
    <w:rsid w:val="000F796E"/>
    <w:rsid w:val="00101232"/>
    <w:rsid w:val="00101BA1"/>
    <w:rsid w:val="00102DAD"/>
    <w:rsid w:val="00104704"/>
    <w:rsid w:val="00106455"/>
    <w:rsid w:val="00107EE0"/>
    <w:rsid w:val="0011222A"/>
    <w:rsid w:val="001158B5"/>
    <w:rsid w:val="00116DE8"/>
    <w:rsid w:val="00120844"/>
    <w:rsid w:val="00120C85"/>
    <w:rsid w:val="00121FB7"/>
    <w:rsid w:val="001224F1"/>
    <w:rsid w:val="00122700"/>
    <w:rsid w:val="00123DB1"/>
    <w:rsid w:val="001241A8"/>
    <w:rsid w:val="00124B3D"/>
    <w:rsid w:val="00126209"/>
    <w:rsid w:val="00126D29"/>
    <w:rsid w:val="001271C1"/>
    <w:rsid w:val="00130949"/>
    <w:rsid w:val="00131495"/>
    <w:rsid w:val="00134105"/>
    <w:rsid w:val="0013487C"/>
    <w:rsid w:val="00135C51"/>
    <w:rsid w:val="00135EC2"/>
    <w:rsid w:val="00137B44"/>
    <w:rsid w:val="00140C86"/>
    <w:rsid w:val="0014488C"/>
    <w:rsid w:val="00145075"/>
    <w:rsid w:val="0014593A"/>
    <w:rsid w:val="00146FB1"/>
    <w:rsid w:val="0014714F"/>
    <w:rsid w:val="0014751F"/>
    <w:rsid w:val="00147B8F"/>
    <w:rsid w:val="00147D5A"/>
    <w:rsid w:val="0015058A"/>
    <w:rsid w:val="00152357"/>
    <w:rsid w:val="001568A4"/>
    <w:rsid w:val="00157634"/>
    <w:rsid w:val="0015777C"/>
    <w:rsid w:val="00157B0B"/>
    <w:rsid w:val="0016098E"/>
    <w:rsid w:val="00160AF6"/>
    <w:rsid w:val="00161683"/>
    <w:rsid w:val="001619CF"/>
    <w:rsid w:val="0016224C"/>
    <w:rsid w:val="00162A76"/>
    <w:rsid w:val="00163DF7"/>
    <w:rsid w:val="00163E1F"/>
    <w:rsid w:val="00165EF0"/>
    <w:rsid w:val="00167246"/>
    <w:rsid w:val="00167A87"/>
    <w:rsid w:val="00174173"/>
    <w:rsid w:val="001741A0"/>
    <w:rsid w:val="001767D8"/>
    <w:rsid w:val="001769F9"/>
    <w:rsid w:val="00176A6D"/>
    <w:rsid w:val="0017733D"/>
    <w:rsid w:val="0017736D"/>
    <w:rsid w:val="001801CC"/>
    <w:rsid w:val="00181A75"/>
    <w:rsid w:val="001822E5"/>
    <w:rsid w:val="00182DE1"/>
    <w:rsid w:val="00183165"/>
    <w:rsid w:val="001833C6"/>
    <w:rsid w:val="00183953"/>
    <w:rsid w:val="00186DE6"/>
    <w:rsid w:val="00190C58"/>
    <w:rsid w:val="00194CC5"/>
    <w:rsid w:val="00194CD0"/>
    <w:rsid w:val="00196C23"/>
    <w:rsid w:val="00196DF8"/>
    <w:rsid w:val="0019788E"/>
    <w:rsid w:val="001A16DE"/>
    <w:rsid w:val="001A2B4C"/>
    <w:rsid w:val="001A6D8E"/>
    <w:rsid w:val="001A7342"/>
    <w:rsid w:val="001B059A"/>
    <w:rsid w:val="001B39BC"/>
    <w:rsid w:val="001B3DF2"/>
    <w:rsid w:val="001B49C9"/>
    <w:rsid w:val="001B560A"/>
    <w:rsid w:val="001B5FCC"/>
    <w:rsid w:val="001B6282"/>
    <w:rsid w:val="001B6FF1"/>
    <w:rsid w:val="001B720E"/>
    <w:rsid w:val="001B7C2D"/>
    <w:rsid w:val="001C01CB"/>
    <w:rsid w:val="001C0CD7"/>
    <w:rsid w:val="001C28B2"/>
    <w:rsid w:val="001C2B2E"/>
    <w:rsid w:val="001C595C"/>
    <w:rsid w:val="001D379F"/>
    <w:rsid w:val="001D3A7D"/>
    <w:rsid w:val="001D4FB0"/>
    <w:rsid w:val="001D599B"/>
    <w:rsid w:val="001D6CF3"/>
    <w:rsid w:val="001E284D"/>
    <w:rsid w:val="001E53A0"/>
    <w:rsid w:val="001E5C04"/>
    <w:rsid w:val="001E70D7"/>
    <w:rsid w:val="001F168B"/>
    <w:rsid w:val="001F1CFE"/>
    <w:rsid w:val="001F2E7F"/>
    <w:rsid w:val="001F34F3"/>
    <w:rsid w:val="001F5C44"/>
    <w:rsid w:val="001F5CC4"/>
    <w:rsid w:val="001F632B"/>
    <w:rsid w:val="001F7831"/>
    <w:rsid w:val="0020111A"/>
    <w:rsid w:val="002016BF"/>
    <w:rsid w:val="00201844"/>
    <w:rsid w:val="00201B08"/>
    <w:rsid w:val="0020204C"/>
    <w:rsid w:val="002029A9"/>
    <w:rsid w:val="00203645"/>
    <w:rsid w:val="0020370C"/>
    <w:rsid w:val="00204045"/>
    <w:rsid w:val="0020425F"/>
    <w:rsid w:val="00206ED3"/>
    <w:rsid w:val="00207079"/>
    <w:rsid w:val="0021353E"/>
    <w:rsid w:val="002138DD"/>
    <w:rsid w:val="00214E95"/>
    <w:rsid w:val="00215C7D"/>
    <w:rsid w:val="00216471"/>
    <w:rsid w:val="00216FA7"/>
    <w:rsid w:val="00221DC7"/>
    <w:rsid w:val="00221E06"/>
    <w:rsid w:val="0022361C"/>
    <w:rsid w:val="00223AD3"/>
    <w:rsid w:val="00224198"/>
    <w:rsid w:val="002244A9"/>
    <w:rsid w:val="00225498"/>
    <w:rsid w:val="0022589F"/>
    <w:rsid w:val="0022606D"/>
    <w:rsid w:val="00226205"/>
    <w:rsid w:val="00226347"/>
    <w:rsid w:val="00233196"/>
    <w:rsid w:val="00233A4C"/>
    <w:rsid w:val="00235144"/>
    <w:rsid w:val="00242D19"/>
    <w:rsid w:val="0024485F"/>
    <w:rsid w:val="00245B7D"/>
    <w:rsid w:val="00250812"/>
    <w:rsid w:val="00250B04"/>
    <w:rsid w:val="0025406F"/>
    <w:rsid w:val="00254484"/>
    <w:rsid w:val="00256B66"/>
    <w:rsid w:val="00260AE7"/>
    <w:rsid w:val="00262113"/>
    <w:rsid w:val="00262EDD"/>
    <w:rsid w:val="0026614D"/>
    <w:rsid w:val="0027053F"/>
    <w:rsid w:val="00270F19"/>
    <w:rsid w:val="00271E30"/>
    <w:rsid w:val="00271E96"/>
    <w:rsid w:val="00272C79"/>
    <w:rsid w:val="002747EC"/>
    <w:rsid w:val="00274E85"/>
    <w:rsid w:val="0027537D"/>
    <w:rsid w:val="002779A1"/>
    <w:rsid w:val="002805EC"/>
    <w:rsid w:val="00281980"/>
    <w:rsid w:val="002828C0"/>
    <w:rsid w:val="0028311E"/>
    <w:rsid w:val="002855BF"/>
    <w:rsid w:val="00290FC1"/>
    <w:rsid w:val="00293031"/>
    <w:rsid w:val="002956AA"/>
    <w:rsid w:val="002966A8"/>
    <w:rsid w:val="002A00A9"/>
    <w:rsid w:val="002A09FF"/>
    <w:rsid w:val="002A4AD1"/>
    <w:rsid w:val="002A64CB"/>
    <w:rsid w:val="002A717B"/>
    <w:rsid w:val="002B17AD"/>
    <w:rsid w:val="002B4AC3"/>
    <w:rsid w:val="002B69DE"/>
    <w:rsid w:val="002B7133"/>
    <w:rsid w:val="002C3919"/>
    <w:rsid w:val="002C4A37"/>
    <w:rsid w:val="002C6EDD"/>
    <w:rsid w:val="002C708A"/>
    <w:rsid w:val="002C72D4"/>
    <w:rsid w:val="002D10D9"/>
    <w:rsid w:val="002D1D6B"/>
    <w:rsid w:val="002D2415"/>
    <w:rsid w:val="002D2AB9"/>
    <w:rsid w:val="002D4340"/>
    <w:rsid w:val="002D50EB"/>
    <w:rsid w:val="002E13C5"/>
    <w:rsid w:val="002E18BB"/>
    <w:rsid w:val="002E1D57"/>
    <w:rsid w:val="002E2CD5"/>
    <w:rsid w:val="002E386F"/>
    <w:rsid w:val="002E3CCA"/>
    <w:rsid w:val="002E4270"/>
    <w:rsid w:val="002E61FD"/>
    <w:rsid w:val="002E7B35"/>
    <w:rsid w:val="002F0D22"/>
    <w:rsid w:val="002F1ED3"/>
    <w:rsid w:val="002F267E"/>
    <w:rsid w:val="002F3C58"/>
    <w:rsid w:val="002F55AC"/>
    <w:rsid w:val="002F61D6"/>
    <w:rsid w:val="0030002C"/>
    <w:rsid w:val="003007BF"/>
    <w:rsid w:val="0030249C"/>
    <w:rsid w:val="00305ECA"/>
    <w:rsid w:val="00306271"/>
    <w:rsid w:val="00311E70"/>
    <w:rsid w:val="00312A2C"/>
    <w:rsid w:val="00313562"/>
    <w:rsid w:val="003136AE"/>
    <w:rsid w:val="00314064"/>
    <w:rsid w:val="00314429"/>
    <w:rsid w:val="0031467C"/>
    <w:rsid w:val="00316444"/>
    <w:rsid w:val="00316792"/>
    <w:rsid w:val="003169A2"/>
    <w:rsid w:val="003172DC"/>
    <w:rsid w:val="00320A6B"/>
    <w:rsid w:val="00320E41"/>
    <w:rsid w:val="00321520"/>
    <w:rsid w:val="00322D89"/>
    <w:rsid w:val="003237E8"/>
    <w:rsid w:val="00326019"/>
    <w:rsid w:val="00326069"/>
    <w:rsid w:val="00326242"/>
    <w:rsid w:val="0033176D"/>
    <w:rsid w:val="00331D99"/>
    <w:rsid w:val="00335983"/>
    <w:rsid w:val="00335990"/>
    <w:rsid w:val="003360BD"/>
    <w:rsid w:val="00336957"/>
    <w:rsid w:val="00336CEE"/>
    <w:rsid w:val="00336E72"/>
    <w:rsid w:val="00337B1A"/>
    <w:rsid w:val="003408F6"/>
    <w:rsid w:val="00340AC4"/>
    <w:rsid w:val="003414FC"/>
    <w:rsid w:val="003417CA"/>
    <w:rsid w:val="003424E1"/>
    <w:rsid w:val="00342578"/>
    <w:rsid w:val="00343C86"/>
    <w:rsid w:val="00344236"/>
    <w:rsid w:val="003442D2"/>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0364"/>
    <w:rsid w:val="00371744"/>
    <w:rsid w:val="00372D36"/>
    <w:rsid w:val="00374BAF"/>
    <w:rsid w:val="00375A2E"/>
    <w:rsid w:val="00375CCC"/>
    <w:rsid w:val="00376792"/>
    <w:rsid w:val="00380A4A"/>
    <w:rsid w:val="00381FB6"/>
    <w:rsid w:val="00382A17"/>
    <w:rsid w:val="00382AC9"/>
    <w:rsid w:val="00382B15"/>
    <w:rsid w:val="00383752"/>
    <w:rsid w:val="003839E9"/>
    <w:rsid w:val="00383D39"/>
    <w:rsid w:val="00384448"/>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72F"/>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462"/>
    <w:rsid w:val="003D159B"/>
    <w:rsid w:val="003D2286"/>
    <w:rsid w:val="003D2B58"/>
    <w:rsid w:val="003D2C5B"/>
    <w:rsid w:val="003D3F2A"/>
    <w:rsid w:val="003D3FB5"/>
    <w:rsid w:val="003D561D"/>
    <w:rsid w:val="003D6072"/>
    <w:rsid w:val="003D7042"/>
    <w:rsid w:val="003D762B"/>
    <w:rsid w:val="003E16BE"/>
    <w:rsid w:val="003E1F2D"/>
    <w:rsid w:val="003E4A6A"/>
    <w:rsid w:val="003E4DDA"/>
    <w:rsid w:val="003E588D"/>
    <w:rsid w:val="003E6C37"/>
    <w:rsid w:val="003E6D72"/>
    <w:rsid w:val="003F037E"/>
    <w:rsid w:val="003F1AF2"/>
    <w:rsid w:val="003F28F4"/>
    <w:rsid w:val="003F3E81"/>
    <w:rsid w:val="003F799F"/>
    <w:rsid w:val="003F7BB3"/>
    <w:rsid w:val="00400113"/>
    <w:rsid w:val="00400AF9"/>
    <w:rsid w:val="00401520"/>
    <w:rsid w:val="00401855"/>
    <w:rsid w:val="00402AC2"/>
    <w:rsid w:val="004032C7"/>
    <w:rsid w:val="00405800"/>
    <w:rsid w:val="00410637"/>
    <w:rsid w:val="004119E9"/>
    <w:rsid w:val="004123E8"/>
    <w:rsid w:val="00412662"/>
    <w:rsid w:val="0041296E"/>
    <w:rsid w:val="00416B1A"/>
    <w:rsid w:val="004174BD"/>
    <w:rsid w:val="00420392"/>
    <w:rsid w:val="004203A6"/>
    <w:rsid w:val="00421A80"/>
    <w:rsid w:val="004223D5"/>
    <w:rsid w:val="0042394C"/>
    <w:rsid w:val="004269D0"/>
    <w:rsid w:val="004275A9"/>
    <w:rsid w:val="00430D92"/>
    <w:rsid w:val="004316D5"/>
    <w:rsid w:val="0043393F"/>
    <w:rsid w:val="0043492C"/>
    <w:rsid w:val="00435311"/>
    <w:rsid w:val="004378F1"/>
    <w:rsid w:val="00437E0C"/>
    <w:rsid w:val="00440AA6"/>
    <w:rsid w:val="00443341"/>
    <w:rsid w:val="00447717"/>
    <w:rsid w:val="004477E7"/>
    <w:rsid w:val="00447946"/>
    <w:rsid w:val="004522CC"/>
    <w:rsid w:val="00453473"/>
    <w:rsid w:val="0045378B"/>
    <w:rsid w:val="00454656"/>
    <w:rsid w:val="00456872"/>
    <w:rsid w:val="00456B3D"/>
    <w:rsid w:val="00457661"/>
    <w:rsid w:val="00460045"/>
    <w:rsid w:val="00463569"/>
    <w:rsid w:val="00465CB0"/>
    <w:rsid w:val="00466468"/>
    <w:rsid w:val="004672EE"/>
    <w:rsid w:val="00467A94"/>
    <w:rsid w:val="00471CDE"/>
    <w:rsid w:val="0047331C"/>
    <w:rsid w:val="00474C33"/>
    <w:rsid w:val="0047536C"/>
    <w:rsid w:val="00476CAD"/>
    <w:rsid w:val="00477455"/>
    <w:rsid w:val="004807E3"/>
    <w:rsid w:val="0048130D"/>
    <w:rsid w:val="004832C4"/>
    <w:rsid w:val="00483C1D"/>
    <w:rsid w:val="00485492"/>
    <w:rsid w:val="00485BDB"/>
    <w:rsid w:val="00486410"/>
    <w:rsid w:val="004864C2"/>
    <w:rsid w:val="00492258"/>
    <w:rsid w:val="00492558"/>
    <w:rsid w:val="0049656C"/>
    <w:rsid w:val="004972DD"/>
    <w:rsid w:val="004A0319"/>
    <w:rsid w:val="004A087E"/>
    <w:rsid w:val="004A2B72"/>
    <w:rsid w:val="004A2D7D"/>
    <w:rsid w:val="004A32F3"/>
    <w:rsid w:val="004A4700"/>
    <w:rsid w:val="004A59FA"/>
    <w:rsid w:val="004A68F4"/>
    <w:rsid w:val="004B20E3"/>
    <w:rsid w:val="004B39DD"/>
    <w:rsid w:val="004B41F8"/>
    <w:rsid w:val="004B5CED"/>
    <w:rsid w:val="004B6388"/>
    <w:rsid w:val="004B68D7"/>
    <w:rsid w:val="004B7120"/>
    <w:rsid w:val="004C1531"/>
    <w:rsid w:val="004C1974"/>
    <w:rsid w:val="004C229D"/>
    <w:rsid w:val="004C2E68"/>
    <w:rsid w:val="004C5A95"/>
    <w:rsid w:val="004C6BCC"/>
    <w:rsid w:val="004C7E7C"/>
    <w:rsid w:val="004D1DC6"/>
    <w:rsid w:val="004D3578"/>
    <w:rsid w:val="004D380D"/>
    <w:rsid w:val="004E0C79"/>
    <w:rsid w:val="004E0CD4"/>
    <w:rsid w:val="004E213A"/>
    <w:rsid w:val="004E2917"/>
    <w:rsid w:val="004E383E"/>
    <w:rsid w:val="004E48C4"/>
    <w:rsid w:val="004E7CCA"/>
    <w:rsid w:val="004F0DE1"/>
    <w:rsid w:val="004F10A5"/>
    <w:rsid w:val="004F156A"/>
    <w:rsid w:val="004F158C"/>
    <w:rsid w:val="004F51B8"/>
    <w:rsid w:val="004F76F3"/>
    <w:rsid w:val="00502735"/>
    <w:rsid w:val="00502BC6"/>
    <w:rsid w:val="00503171"/>
    <w:rsid w:val="005037A0"/>
    <w:rsid w:val="00506C28"/>
    <w:rsid w:val="00511F56"/>
    <w:rsid w:val="0051299A"/>
    <w:rsid w:val="00516518"/>
    <w:rsid w:val="005166D3"/>
    <w:rsid w:val="005169F2"/>
    <w:rsid w:val="0051770A"/>
    <w:rsid w:val="00522978"/>
    <w:rsid w:val="005234CD"/>
    <w:rsid w:val="00523FEE"/>
    <w:rsid w:val="00527DE0"/>
    <w:rsid w:val="00531145"/>
    <w:rsid w:val="00532A92"/>
    <w:rsid w:val="00534DA0"/>
    <w:rsid w:val="0053506A"/>
    <w:rsid w:val="00540007"/>
    <w:rsid w:val="00543E6C"/>
    <w:rsid w:val="00543F5F"/>
    <w:rsid w:val="00546749"/>
    <w:rsid w:val="00546C98"/>
    <w:rsid w:val="00546CB4"/>
    <w:rsid w:val="0055050A"/>
    <w:rsid w:val="005506D7"/>
    <w:rsid w:val="005513E1"/>
    <w:rsid w:val="00551ED5"/>
    <w:rsid w:val="00551ED6"/>
    <w:rsid w:val="00551F97"/>
    <w:rsid w:val="00552D11"/>
    <w:rsid w:val="00553021"/>
    <w:rsid w:val="005547F0"/>
    <w:rsid w:val="00560655"/>
    <w:rsid w:val="0056076A"/>
    <w:rsid w:val="00561CD2"/>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47C"/>
    <w:rsid w:val="00580A44"/>
    <w:rsid w:val="00580E96"/>
    <w:rsid w:val="00582CDB"/>
    <w:rsid w:val="00584EE9"/>
    <w:rsid w:val="005855AB"/>
    <w:rsid w:val="005862E2"/>
    <w:rsid w:val="00586897"/>
    <w:rsid w:val="00586CF6"/>
    <w:rsid w:val="00587B48"/>
    <w:rsid w:val="005900CE"/>
    <w:rsid w:val="00591100"/>
    <w:rsid w:val="005920E6"/>
    <w:rsid w:val="00593B6E"/>
    <w:rsid w:val="005A0B84"/>
    <w:rsid w:val="005A14B6"/>
    <w:rsid w:val="005A166D"/>
    <w:rsid w:val="005A6916"/>
    <w:rsid w:val="005A73AD"/>
    <w:rsid w:val="005B1DC5"/>
    <w:rsid w:val="005B249B"/>
    <w:rsid w:val="005B3C9A"/>
    <w:rsid w:val="005B4474"/>
    <w:rsid w:val="005B46AD"/>
    <w:rsid w:val="005C0207"/>
    <w:rsid w:val="005C13F7"/>
    <w:rsid w:val="005C15EC"/>
    <w:rsid w:val="005C2845"/>
    <w:rsid w:val="005C43EE"/>
    <w:rsid w:val="005C528A"/>
    <w:rsid w:val="005C7E45"/>
    <w:rsid w:val="005D3307"/>
    <w:rsid w:val="005D53AD"/>
    <w:rsid w:val="005D5447"/>
    <w:rsid w:val="005D661E"/>
    <w:rsid w:val="005E1A07"/>
    <w:rsid w:val="005E359C"/>
    <w:rsid w:val="005E5D4F"/>
    <w:rsid w:val="005E6A6C"/>
    <w:rsid w:val="005F071B"/>
    <w:rsid w:val="005F21F1"/>
    <w:rsid w:val="005F2EDF"/>
    <w:rsid w:val="005F3692"/>
    <w:rsid w:val="005F4E8E"/>
    <w:rsid w:val="005F70C3"/>
    <w:rsid w:val="005F7843"/>
    <w:rsid w:val="0060164A"/>
    <w:rsid w:val="00602641"/>
    <w:rsid w:val="00603219"/>
    <w:rsid w:val="00605118"/>
    <w:rsid w:val="006067A4"/>
    <w:rsid w:val="006112AF"/>
    <w:rsid w:val="00611566"/>
    <w:rsid w:val="00613340"/>
    <w:rsid w:val="00614757"/>
    <w:rsid w:val="00614EE6"/>
    <w:rsid w:val="00615CCD"/>
    <w:rsid w:val="00621140"/>
    <w:rsid w:val="006211DA"/>
    <w:rsid w:val="00621371"/>
    <w:rsid w:val="00623713"/>
    <w:rsid w:val="00623A25"/>
    <w:rsid w:val="00624826"/>
    <w:rsid w:val="00626696"/>
    <w:rsid w:val="0062739F"/>
    <w:rsid w:val="00631DBD"/>
    <w:rsid w:val="00632222"/>
    <w:rsid w:val="00635F47"/>
    <w:rsid w:val="00641F14"/>
    <w:rsid w:val="00642C4E"/>
    <w:rsid w:val="0064411C"/>
    <w:rsid w:val="006454FE"/>
    <w:rsid w:val="00645D44"/>
    <w:rsid w:val="006465F3"/>
    <w:rsid w:val="00646B77"/>
    <w:rsid w:val="00646D99"/>
    <w:rsid w:val="00647E8B"/>
    <w:rsid w:val="00650084"/>
    <w:rsid w:val="00650F33"/>
    <w:rsid w:val="00651125"/>
    <w:rsid w:val="00651930"/>
    <w:rsid w:val="00651A6B"/>
    <w:rsid w:val="00652646"/>
    <w:rsid w:val="00652CF2"/>
    <w:rsid w:val="006531CD"/>
    <w:rsid w:val="00656910"/>
    <w:rsid w:val="00657C9E"/>
    <w:rsid w:val="006600CD"/>
    <w:rsid w:val="00660764"/>
    <w:rsid w:val="00661676"/>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6BA"/>
    <w:rsid w:val="00692FC3"/>
    <w:rsid w:val="00693373"/>
    <w:rsid w:val="00694012"/>
    <w:rsid w:val="00694D2A"/>
    <w:rsid w:val="006965CD"/>
    <w:rsid w:val="00696DF2"/>
    <w:rsid w:val="00697858"/>
    <w:rsid w:val="006A1436"/>
    <w:rsid w:val="006A180F"/>
    <w:rsid w:val="006A334F"/>
    <w:rsid w:val="006A456D"/>
    <w:rsid w:val="006A48C8"/>
    <w:rsid w:val="006A5153"/>
    <w:rsid w:val="006A54BE"/>
    <w:rsid w:val="006A6944"/>
    <w:rsid w:val="006B0254"/>
    <w:rsid w:val="006B1EBB"/>
    <w:rsid w:val="006B4D84"/>
    <w:rsid w:val="006B605E"/>
    <w:rsid w:val="006B6466"/>
    <w:rsid w:val="006B7943"/>
    <w:rsid w:val="006C4CC8"/>
    <w:rsid w:val="006C6225"/>
    <w:rsid w:val="006C66D8"/>
    <w:rsid w:val="006C768F"/>
    <w:rsid w:val="006C7F23"/>
    <w:rsid w:val="006D0C80"/>
    <w:rsid w:val="006D0EC9"/>
    <w:rsid w:val="006D1E24"/>
    <w:rsid w:val="006D21DD"/>
    <w:rsid w:val="006D26EE"/>
    <w:rsid w:val="006D448F"/>
    <w:rsid w:val="006D4CB0"/>
    <w:rsid w:val="006D7D62"/>
    <w:rsid w:val="006E08C3"/>
    <w:rsid w:val="006E1417"/>
    <w:rsid w:val="006E1583"/>
    <w:rsid w:val="006E4365"/>
    <w:rsid w:val="006E5AD2"/>
    <w:rsid w:val="006E7397"/>
    <w:rsid w:val="006F0D09"/>
    <w:rsid w:val="006F0EE0"/>
    <w:rsid w:val="006F1C88"/>
    <w:rsid w:val="006F25E4"/>
    <w:rsid w:val="006F32EA"/>
    <w:rsid w:val="006F47F6"/>
    <w:rsid w:val="006F5D11"/>
    <w:rsid w:val="006F62AC"/>
    <w:rsid w:val="006F6A2C"/>
    <w:rsid w:val="006F6E95"/>
    <w:rsid w:val="006F78E6"/>
    <w:rsid w:val="00702AAA"/>
    <w:rsid w:val="00702F97"/>
    <w:rsid w:val="00704C10"/>
    <w:rsid w:val="00705D88"/>
    <w:rsid w:val="00710201"/>
    <w:rsid w:val="0071066B"/>
    <w:rsid w:val="007119C1"/>
    <w:rsid w:val="00713634"/>
    <w:rsid w:val="00713A79"/>
    <w:rsid w:val="00715050"/>
    <w:rsid w:val="00716280"/>
    <w:rsid w:val="0071689E"/>
    <w:rsid w:val="00717A1C"/>
    <w:rsid w:val="0072014D"/>
    <w:rsid w:val="00721FCB"/>
    <w:rsid w:val="00727896"/>
    <w:rsid w:val="00730422"/>
    <w:rsid w:val="007312D2"/>
    <w:rsid w:val="007317F6"/>
    <w:rsid w:val="00734A5B"/>
    <w:rsid w:val="00734CEE"/>
    <w:rsid w:val="00735E81"/>
    <w:rsid w:val="00735F8A"/>
    <w:rsid w:val="00740DC3"/>
    <w:rsid w:val="007418B7"/>
    <w:rsid w:val="007419EF"/>
    <w:rsid w:val="00741E7A"/>
    <w:rsid w:val="00744E76"/>
    <w:rsid w:val="007460EF"/>
    <w:rsid w:val="007478F0"/>
    <w:rsid w:val="00747A03"/>
    <w:rsid w:val="00747D0A"/>
    <w:rsid w:val="007504A9"/>
    <w:rsid w:val="0075199C"/>
    <w:rsid w:val="00753591"/>
    <w:rsid w:val="007542F1"/>
    <w:rsid w:val="00754F5F"/>
    <w:rsid w:val="00757D40"/>
    <w:rsid w:val="00761B1F"/>
    <w:rsid w:val="007636D3"/>
    <w:rsid w:val="007658B7"/>
    <w:rsid w:val="007665C4"/>
    <w:rsid w:val="0076792F"/>
    <w:rsid w:val="00771416"/>
    <w:rsid w:val="00771BCD"/>
    <w:rsid w:val="00771E2F"/>
    <w:rsid w:val="00773ACB"/>
    <w:rsid w:val="00776516"/>
    <w:rsid w:val="00776C2C"/>
    <w:rsid w:val="007811A2"/>
    <w:rsid w:val="00781F0F"/>
    <w:rsid w:val="00781FA2"/>
    <w:rsid w:val="00782C71"/>
    <w:rsid w:val="00783E27"/>
    <w:rsid w:val="0078448D"/>
    <w:rsid w:val="007846F6"/>
    <w:rsid w:val="007851AB"/>
    <w:rsid w:val="00785DE8"/>
    <w:rsid w:val="00786052"/>
    <w:rsid w:val="00786A8D"/>
    <w:rsid w:val="00786DED"/>
    <w:rsid w:val="0078727C"/>
    <w:rsid w:val="00787E4E"/>
    <w:rsid w:val="0079049D"/>
    <w:rsid w:val="007914C8"/>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3413"/>
    <w:rsid w:val="007C67D2"/>
    <w:rsid w:val="007C77C4"/>
    <w:rsid w:val="007D107C"/>
    <w:rsid w:val="007D1B85"/>
    <w:rsid w:val="007D1FD5"/>
    <w:rsid w:val="007D309E"/>
    <w:rsid w:val="007D4B38"/>
    <w:rsid w:val="007D5BED"/>
    <w:rsid w:val="007D5EF6"/>
    <w:rsid w:val="007D692E"/>
    <w:rsid w:val="007D7D25"/>
    <w:rsid w:val="007E4556"/>
    <w:rsid w:val="007E457A"/>
    <w:rsid w:val="007E515A"/>
    <w:rsid w:val="007F04EE"/>
    <w:rsid w:val="007F14AD"/>
    <w:rsid w:val="007F31EB"/>
    <w:rsid w:val="007F7268"/>
    <w:rsid w:val="007F7342"/>
    <w:rsid w:val="007F7946"/>
    <w:rsid w:val="00800D57"/>
    <w:rsid w:val="008028A4"/>
    <w:rsid w:val="00802F07"/>
    <w:rsid w:val="0080333D"/>
    <w:rsid w:val="00805E0B"/>
    <w:rsid w:val="00806310"/>
    <w:rsid w:val="00812B0C"/>
    <w:rsid w:val="00813245"/>
    <w:rsid w:val="00815481"/>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01FB"/>
    <w:rsid w:val="008324A5"/>
    <w:rsid w:val="00834604"/>
    <w:rsid w:val="00834A6D"/>
    <w:rsid w:val="00845E80"/>
    <w:rsid w:val="008460EF"/>
    <w:rsid w:val="0084763A"/>
    <w:rsid w:val="00850BBB"/>
    <w:rsid w:val="00850CBF"/>
    <w:rsid w:val="00851218"/>
    <w:rsid w:val="00854A4F"/>
    <w:rsid w:val="00855178"/>
    <w:rsid w:val="00856127"/>
    <w:rsid w:val="0085698E"/>
    <w:rsid w:val="008571AD"/>
    <w:rsid w:val="00857756"/>
    <w:rsid w:val="00860820"/>
    <w:rsid w:val="00860BEE"/>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95302"/>
    <w:rsid w:val="008953A5"/>
    <w:rsid w:val="00896192"/>
    <w:rsid w:val="008A0516"/>
    <w:rsid w:val="008A07BA"/>
    <w:rsid w:val="008A130F"/>
    <w:rsid w:val="008A15D5"/>
    <w:rsid w:val="008A1D28"/>
    <w:rsid w:val="008A203C"/>
    <w:rsid w:val="008A27FC"/>
    <w:rsid w:val="008A2D12"/>
    <w:rsid w:val="008A506B"/>
    <w:rsid w:val="008B192A"/>
    <w:rsid w:val="008B44F1"/>
    <w:rsid w:val="008B477F"/>
    <w:rsid w:val="008B5306"/>
    <w:rsid w:val="008B681A"/>
    <w:rsid w:val="008C0E06"/>
    <w:rsid w:val="008C1100"/>
    <w:rsid w:val="008C1A63"/>
    <w:rsid w:val="008C20AD"/>
    <w:rsid w:val="008C20F7"/>
    <w:rsid w:val="008C35C7"/>
    <w:rsid w:val="008C3F92"/>
    <w:rsid w:val="008C42B8"/>
    <w:rsid w:val="008C7888"/>
    <w:rsid w:val="008D05CE"/>
    <w:rsid w:val="008D0839"/>
    <w:rsid w:val="008D1CD5"/>
    <w:rsid w:val="008D2258"/>
    <w:rsid w:val="008D467A"/>
    <w:rsid w:val="008E131E"/>
    <w:rsid w:val="008E22FF"/>
    <w:rsid w:val="008E345E"/>
    <w:rsid w:val="008E3B19"/>
    <w:rsid w:val="008E412B"/>
    <w:rsid w:val="008F2039"/>
    <w:rsid w:val="008F2BF7"/>
    <w:rsid w:val="008F2E9A"/>
    <w:rsid w:val="00901335"/>
    <w:rsid w:val="0090187C"/>
    <w:rsid w:val="009024E8"/>
    <w:rsid w:val="0090271F"/>
    <w:rsid w:val="00902DB9"/>
    <w:rsid w:val="00903DD4"/>
    <w:rsid w:val="0090466A"/>
    <w:rsid w:val="009062D3"/>
    <w:rsid w:val="00907DD2"/>
    <w:rsid w:val="00911A3A"/>
    <w:rsid w:val="00911DEA"/>
    <w:rsid w:val="00912CD4"/>
    <w:rsid w:val="00915711"/>
    <w:rsid w:val="0091771F"/>
    <w:rsid w:val="00917ABE"/>
    <w:rsid w:val="0092024A"/>
    <w:rsid w:val="00921F58"/>
    <w:rsid w:val="00922DC1"/>
    <w:rsid w:val="0092322B"/>
    <w:rsid w:val="00924D2C"/>
    <w:rsid w:val="0092657D"/>
    <w:rsid w:val="00931360"/>
    <w:rsid w:val="00931AF4"/>
    <w:rsid w:val="00933F83"/>
    <w:rsid w:val="00936071"/>
    <w:rsid w:val="00940212"/>
    <w:rsid w:val="0094197F"/>
    <w:rsid w:val="00942E6A"/>
    <w:rsid w:val="00942EC2"/>
    <w:rsid w:val="00943958"/>
    <w:rsid w:val="009454B8"/>
    <w:rsid w:val="00945B30"/>
    <w:rsid w:val="009466BE"/>
    <w:rsid w:val="00946A16"/>
    <w:rsid w:val="0094798C"/>
    <w:rsid w:val="00952A0E"/>
    <w:rsid w:val="0095306B"/>
    <w:rsid w:val="0095382B"/>
    <w:rsid w:val="00955470"/>
    <w:rsid w:val="009556D0"/>
    <w:rsid w:val="00956A9D"/>
    <w:rsid w:val="00957D2B"/>
    <w:rsid w:val="00957E6F"/>
    <w:rsid w:val="00961B32"/>
    <w:rsid w:val="00962174"/>
    <w:rsid w:val="0096294B"/>
    <w:rsid w:val="0096408F"/>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1A7C"/>
    <w:rsid w:val="009A1E95"/>
    <w:rsid w:val="009A36A2"/>
    <w:rsid w:val="009A4136"/>
    <w:rsid w:val="009A443C"/>
    <w:rsid w:val="009A50C5"/>
    <w:rsid w:val="009A7362"/>
    <w:rsid w:val="009A7F1A"/>
    <w:rsid w:val="009B07CD"/>
    <w:rsid w:val="009B113E"/>
    <w:rsid w:val="009B16DE"/>
    <w:rsid w:val="009B2074"/>
    <w:rsid w:val="009B6E5C"/>
    <w:rsid w:val="009B70A3"/>
    <w:rsid w:val="009B73A2"/>
    <w:rsid w:val="009C19E9"/>
    <w:rsid w:val="009C2148"/>
    <w:rsid w:val="009C427D"/>
    <w:rsid w:val="009C4B6F"/>
    <w:rsid w:val="009D0363"/>
    <w:rsid w:val="009D0CD3"/>
    <w:rsid w:val="009D13CA"/>
    <w:rsid w:val="009D2DA6"/>
    <w:rsid w:val="009D3714"/>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59CE"/>
    <w:rsid w:val="009F69DE"/>
    <w:rsid w:val="009F799D"/>
    <w:rsid w:val="009F7E84"/>
    <w:rsid w:val="00A03918"/>
    <w:rsid w:val="00A03B42"/>
    <w:rsid w:val="00A05DE2"/>
    <w:rsid w:val="00A067FE"/>
    <w:rsid w:val="00A10F02"/>
    <w:rsid w:val="00A11888"/>
    <w:rsid w:val="00A14E25"/>
    <w:rsid w:val="00A15FB2"/>
    <w:rsid w:val="00A16DF1"/>
    <w:rsid w:val="00A204CA"/>
    <w:rsid w:val="00A207D2"/>
    <w:rsid w:val="00A215F6"/>
    <w:rsid w:val="00A23966"/>
    <w:rsid w:val="00A23AC0"/>
    <w:rsid w:val="00A242F5"/>
    <w:rsid w:val="00A25A22"/>
    <w:rsid w:val="00A25F51"/>
    <w:rsid w:val="00A26593"/>
    <w:rsid w:val="00A270B0"/>
    <w:rsid w:val="00A300A0"/>
    <w:rsid w:val="00A30E3E"/>
    <w:rsid w:val="00A31AB2"/>
    <w:rsid w:val="00A31D17"/>
    <w:rsid w:val="00A32493"/>
    <w:rsid w:val="00A32E13"/>
    <w:rsid w:val="00A35830"/>
    <w:rsid w:val="00A423AE"/>
    <w:rsid w:val="00A43A2E"/>
    <w:rsid w:val="00A44AE9"/>
    <w:rsid w:val="00A45665"/>
    <w:rsid w:val="00A52986"/>
    <w:rsid w:val="00A52CC6"/>
    <w:rsid w:val="00A53724"/>
    <w:rsid w:val="00A54875"/>
    <w:rsid w:val="00A55549"/>
    <w:rsid w:val="00A566A2"/>
    <w:rsid w:val="00A57AD8"/>
    <w:rsid w:val="00A62BFC"/>
    <w:rsid w:val="00A6496B"/>
    <w:rsid w:val="00A65425"/>
    <w:rsid w:val="00A65C1F"/>
    <w:rsid w:val="00A66990"/>
    <w:rsid w:val="00A718DA"/>
    <w:rsid w:val="00A7247E"/>
    <w:rsid w:val="00A743AC"/>
    <w:rsid w:val="00A74826"/>
    <w:rsid w:val="00A74C06"/>
    <w:rsid w:val="00A75305"/>
    <w:rsid w:val="00A753E1"/>
    <w:rsid w:val="00A775DD"/>
    <w:rsid w:val="00A77F59"/>
    <w:rsid w:val="00A80334"/>
    <w:rsid w:val="00A82346"/>
    <w:rsid w:val="00A825BF"/>
    <w:rsid w:val="00A845B8"/>
    <w:rsid w:val="00A85BB3"/>
    <w:rsid w:val="00A87209"/>
    <w:rsid w:val="00A914AD"/>
    <w:rsid w:val="00A954D8"/>
    <w:rsid w:val="00A9671C"/>
    <w:rsid w:val="00A9769E"/>
    <w:rsid w:val="00A97749"/>
    <w:rsid w:val="00AA1553"/>
    <w:rsid w:val="00AA39FE"/>
    <w:rsid w:val="00AA423E"/>
    <w:rsid w:val="00AA4494"/>
    <w:rsid w:val="00AA57EE"/>
    <w:rsid w:val="00AA7EC1"/>
    <w:rsid w:val="00AB0409"/>
    <w:rsid w:val="00AB0FA6"/>
    <w:rsid w:val="00AB1408"/>
    <w:rsid w:val="00AB163A"/>
    <w:rsid w:val="00AB17A0"/>
    <w:rsid w:val="00AB1A97"/>
    <w:rsid w:val="00AB27C6"/>
    <w:rsid w:val="00AB2E1B"/>
    <w:rsid w:val="00AB4F3D"/>
    <w:rsid w:val="00AB504B"/>
    <w:rsid w:val="00AB5A5A"/>
    <w:rsid w:val="00AB71C6"/>
    <w:rsid w:val="00AB7EA2"/>
    <w:rsid w:val="00AC0234"/>
    <w:rsid w:val="00AC1314"/>
    <w:rsid w:val="00AC1E31"/>
    <w:rsid w:val="00AC26C2"/>
    <w:rsid w:val="00AC2CF8"/>
    <w:rsid w:val="00AC3E63"/>
    <w:rsid w:val="00AC4320"/>
    <w:rsid w:val="00AC53FE"/>
    <w:rsid w:val="00AC7CA7"/>
    <w:rsid w:val="00AD0C68"/>
    <w:rsid w:val="00AD0F1D"/>
    <w:rsid w:val="00AD2619"/>
    <w:rsid w:val="00AD4D8C"/>
    <w:rsid w:val="00AD5427"/>
    <w:rsid w:val="00AD5B72"/>
    <w:rsid w:val="00AD7EB7"/>
    <w:rsid w:val="00AE06A4"/>
    <w:rsid w:val="00AE095D"/>
    <w:rsid w:val="00AE1871"/>
    <w:rsid w:val="00AE26C0"/>
    <w:rsid w:val="00AE32B8"/>
    <w:rsid w:val="00AE35AC"/>
    <w:rsid w:val="00AE4A32"/>
    <w:rsid w:val="00AE5998"/>
    <w:rsid w:val="00AE5A3F"/>
    <w:rsid w:val="00AE67B2"/>
    <w:rsid w:val="00AE7394"/>
    <w:rsid w:val="00AE7935"/>
    <w:rsid w:val="00AF1C7D"/>
    <w:rsid w:val="00AF20A6"/>
    <w:rsid w:val="00AF2778"/>
    <w:rsid w:val="00AF3563"/>
    <w:rsid w:val="00AF5E5C"/>
    <w:rsid w:val="00AF6272"/>
    <w:rsid w:val="00B002EA"/>
    <w:rsid w:val="00B024E5"/>
    <w:rsid w:val="00B033FA"/>
    <w:rsid w:val="00B0343F"/>
    <w:rsid w:val="00B046A0"/>
    <w:rsid w:val="00B04A75"/>
    <w:rsid w:val="00B0648D"/>
    <w:rsid w:val="00B07AAA"/>
    <w:rsid w:val="00B10754"/>
    <w:rsid w:val="00B11743"/>
    <w:rsid w:val="00B1192D"/>
    <w:rsid w:val="00B11CB0"/>
    <w:rsid w:val="00B1514F"/>
    <w:rsid w:val="00B15449"/>
    <w:rsid w:val="00B154C9"/>
    <w:rsid w:val="00B15627"/>
    <w:rsid w:val="00B15ADA"/>
    <w:rsid w:val="00B1608D"/>
    <w:rsid w:val="00B1608F"/>
    <w:rsid w:val="00B2397F"/>
    <w:rsid w:val="00B23FAA"/>
    <w:rsid w:val="00B2755F"/>
    <w:rsid w:val="00B30ADA"/>
    <w:rsid w:val="00B331AE"/>
    <w:rsid w:val="00B33E45"/>
    <w:rsid w:val="00B359B7"/>
    <w:rsid w:val="00B36BDD"/>
    <w:rsid w:val="00B40C67"/>
    <w:rsid w:val="00B422C3"/>
    <w:rsid w:val="00B42667"/>
    <w:rsid w:val="00B444B8"/>
    <w:rsid w:val="00B4746E"/>
    <w:rsid w:val="00B47FD1"/>
    <w:rsid w:val="00B516BB"/>
    <w:rsid w:val="00B51B0A"/>
    <w:rsid w:val="00B5205D"/>
    <w:rsid w:val="00B52D96"/>
    <w:rsid w:val="00B53C45"/>
    <w:rsid w:val="00B54665"/>
    <w:rsid w:val="00B61417"/>
    <w:rsid w:val="00B62989"/>
    <w:rsid w:val="00B62E9A"/>
    <w:rsid w:val="00B633C3"/>
    <w:rsid w:val="00B6406E"/>
    <w:rsid w:val="00B642B6"/>
    <w:rsid w:val="00B65E42"/>
    <w:rsid w:val="00B6646D"/>
    <w:rsid w:val="00B6737A"/>
    <w:rsid w:val="00B701A0"/>
    <w:rsid w:val="00B72CC9"/>
    <w:rsid w:val="00B73D0C"/>
    <w:rsid w:val="00B747AE"/>
    <w:rsid w:val="00B74842"/>
    <w:rsid w:val="00B751DC"/>
    <w:rsid w:val="00B756ED"/>
    <w:rsid w:val="00B75EF1"/>
    <w:rsid w:val="00B770FF"/>
    <w:rsid w:val="00B8019B"/>
    <w:rsid w:val="00B82DD7"/>
    <w:rsid w:val="00B83F9A"/>
    <w:rsid w:val="00B84B18"/>
    <w:rsid w:val="00B86A6B"/>
    <w:rsid w:val="00B8722E"/>
    <w:rsid w:val="00B8739B"/>
    <w:rsid w:val="00B912B1"/>
    <w:rsid w:val="00B919F2"/>
    <w:rsid w:val="00B96CCF"/>
    <w:rsid w:val="00B97C71"/>
    <w:rsid w:val="00B97CBC"/>
    <w:rsid w:val="00BA2ABC"/>
    <w:rsid w:val="00BA3230"/>
    <w:rsid w:val="00BA37B5"/>
    <w:rsid w:val="00BA3913"/>
    <w:rsid w:val="00BA601F"/>
    <w:rsid w:val="00BA6B3D"/>
    <w:rsid w:val="00BA7FDD"/>
    <w:rsid w:val="00BB1993"/>
    <w:rsid w:val="00BB1D64"/>
    <w:rsid w:val="00BB5E22"/>
    <w:rsid w:val="00BB69C4"/>
    <w:rsid w:val="00BC02B4"/>
    <w:rsid w:val="00BC07C5"/>
    <w:rsid w:val="00BC136A"/>
    <w:rsid w:val="00BC175D"/>
    <w:rsid w:val="00BC1BBC"/>
    <w:rsid w:val="00BC1C99"/>
    <w:rsid w:val="00BC2D6C"/>
    <w:rsid w:val="00BC3A5F"/>
    <w:rsid w:val="00BC41B5"/>
    <w:rsid w:val="00BC5A4D"/>
    <w:rsid w:val="00BC7783"/>
    <w:rsid w:val="00BD091C"/>
    <w:rsid w:val="00BD1631"/>
    <w:rsid w:val="00BD31D3"/>
    <w:rsid w:val="00BD55FC"/>
    <w:rsid w:val="00BD6273"/>
    <w:rsid w:val="00BD67B1"/>
    <w:rsid w:val="00BE5261"/>
    <w:rsid w:val="00BE7500"/>
    <w:rsid w:val="00BE7B3F"/>
    <w:rsid w:val="00BF2DF0"/>
    <w:rsid w:val="00BF2E14"/>
    <w:rsid w:val="00BF2ECB"/>
    <w:rsid w:val="00BF4416"/>
    <w:rsid w:val="00BF449E"/>
    <w:rsid w:val="00BF46D7"/>
    <w:rsid w:val="00BF49E1"/>
    <w:rsid w:val="00BF5561"/>
    <w:rsid w:val="00BF630D"/>
    <w:rsid w:val="00BF6EB6"/>
    <w:rsid w:val="00C01E8E"/>
    <w:rsid w:val="00C03D2D"/>
    <w:rsid w:val="00C042E6"/>
    <w:rsid w:val="00C07B22"/>
    <w:rsid w:val="00C07D96"/>
    <w:rsid w:val="00C10DF1"/>
    <w:rsid w:val="00C12B51"/>
    <w:rsid w:val="00C13DC1"/>
    <w:rsid w:val="00C15264"/>
    <w:rsid w:val="00C15795"/>
    <w:rsid w:val="00C16357"/>
    <w:rsid w:val="00C17978"/>
    <w:rsid w:val="00C2032B"/>
    <w:rsid w:val="00C20E9C"/>
    <w:rsid w:val="00C230AE"/>
    <w:rsid w:val="00C235C7"/>
    <w:rsid w:val="00C23FA7"/>
    <w:rsid w:val="00C24650"/>
    <w:rsid w:val="00C2597A"/>
    <w:rsid w:val="00C25AAF"/>
    <w:rsid w:val="00C27752"/>
    <w:rsid w:val="00C27B36"/>
    <w:rsid w:val="00C31C47"/>
    <w:rsid w:val="00C31F2E"/>
    <w:rsid w:val="00C32347"/>
    <w:rsid w:val="00C33079"/>
    <w:rsid w:val="00C330DF"/>
    <w:rsid w:val="00C333E9"/>
    <w:rsid w:val="00C34F52"/>
    <w:rsid w:val="00C37FDE"/>
    <w:rsid w:val="00C41500"/>
    <w:rsid w:val="00C42782"/>
    <w:rsid w:val="00C43926"/>
    <w:rsid w:val="00C4443E"/>
    <w:rsid w:val="00C46BDB"/>
    <w:rsid w:val="00C47D2D"/>
    <w:rsid w:val="00C47F3D"/>
    <w:rsid w:val="00C51D27"/>
    <w:rsid w:val="00C54E61"/>
    <w:rsid w:val="00C556FB"/>
    <w:rsid w:val="00C613BA"/>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6B15"/>
    <w:rsid w:val="00C97DD9"/>
    <w:rsid w:val="00CA08C8"/>
    <w:rsid w:val="00CA0C6F"/>
    <w:rsid w:val="00CA1196"/>
    <w:rsid w:val="00CA160C"/>
    <w:rsid w:val="00CA3D0C"/>
    <w:rsid w:val="00CA4CC4"/>
    <w:rsid w:val="00CA55A2"/>
    <w:rsid w:val="00CA6073"/>
    <w:rsid w:val="00CA654B"/>
    <w:rsid w:val="00CA7FB5"/>
    <w:rsid w:val="00CB1831"/>
    <w:rsid w:val="00CB192D"/>
    <w:rsid w:val="00CB20EE"/>
    <w:rsid w:val="00CB474B"/>
    <w:rsid w:val="00CC05BA"/>
    <w:rsid w:val="00CC365E"/>
    <w:rsid w:val="00CD0243"/>
    <w:rsid w:val="00CD1CFE"/>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4103"/>
    <w:rsid w:val="00D048E7"/>
    <w:rsid w:val="00D05C9E"/>
    <w:rsid w:val="00D133BA"/>
    <w:rsid w:val="00D14063"/>
    <w:rsid w:val="00D16129"/>
    <w:rsid w:val="00D177F8"/>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476"/>
    <w:rsid w:val="00D50FAB"/>
    <w:rsid w:val="00D53F4D"/>
    <w:rsid w:val="00D548D7"/>
    <w:rsid w:val="00D54EF9"/>
    <w:rsid w:val="00D57B51"/>
    <w:rsid w:val="00D6117F"/>
    <w:rsid w:val="00D62E82"/>
    <w:rsid w:val="00D63BB4"/>
    <w:rsid w:val="00D641AE"/>
    <w:rsid w:val="00D646DB"/>
    <w:rsid w:val="00D64B2D"/>
    <w:rsid w:val="00D66F34"/>
    <w:rsid w:val="00D679C7"/>
    <w:rsid w:val="00D738D6"/>
    <w:rsid w:val="00D742F4"/>
    <w:rsid w:val="00D75638"/>
    <w:rsid w:val="00D80795"/>
    <w:rsid w:val="00D80F5E"/>
    <w:rsid w:val="00D82DC3"/>
    <w:rsid w:val="00D8694E"/>
    <w:rsid w:val="00D870B2"/>
    <w:rsid w:val="00D87A08"/>
    <w:rsid w:val="00D87E00"/>
    <w:rsid w:val="00D90718"/>
    <w:rsid w:val="00D9134D"/>
    <w:rsid w:val="00D91BCA"/>
    <w:rsid w:val="00D92B08"/>
    <w:rsid w:val="00D95AF8"/>
    <w:rsid w:val="00D95F4A"/>
    <w:rsid w:val="00D96D11"/>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248"/>
    <w:rsid w:val="00DB4BA8"/>
    <w:rsid w:val="00DB6E8D"/>
    <w:rsid w:val="00DB72F8"/>
    <w:rsid w:val="00DC17FD"/>
    <w:rsid w:val="00DC309B"/>
    <w:rsid w:val="00DC41E9"/>
    <w:rsid w:val="00DC4DA2"/>
    <w:rsid w:val="00DC50B4"/>
    <w:rsid w:val="00DC5F65"/>
    <w:rsid w:val="00DC7854"/>
    <w:rsid w:val="00DD06F0"/>
    <w:rsid w:val="00DD102D"/>
    <w:rsid w:val="00DD43BA"/>
    <w:rsid w:val="00DD5312"/>
    <w:rsid w:val="00DD70FA"/>
    <w:rsid w:val="00DD722F"/>
    <w:rsid w:val="00DE0D91"/>
    <w:rsid w:val="00DE17D1"/>
    <w:rsid w:val="00DE44B0"/>
    <w:rsid w:val="00DE4A98"/>
    <w:rsid w:val="00DE56A5"/>
    <w:rsid w:val="00DF08B7"/>
    <w:rsid w:val="00DF2B7B"/>
    <w:rsid w:val="00DF5B0C"/>
    <w:rsid w:val="00E0098E"/>
    <w:rsid w:val="00E02F6A"/>
    <w:rsid w:val="00E03198"/>
    <w:rsid w:val="00E03A46"/>
    <w:rsid w:val="00E03F18"/>
    <w:rsid w:val="00E0415B"/>
    <w:rsid w:val="00E06135"/>
    <w:rsid w:val="00E062E3"/>
    <w:rsid w:val="00E074C7"/>
    <w:rsid w:val="00E113C0"/>
    <w:rsid w:val="00E23537"/>
    <w:rsid w:val="00E250F4"/>
    <w:rsid w:val="00E25BEF"/>
    <w:rsid w:val="00E25C19"/>
    <w:rsid w:val="00E30372"/>
    <w:rsid w:val="00E307FC"/>
    <w:rsid w:val="00E313B9"/>
    <w:rsid w:val="00E31932"/>
    <w:rsid w:val="00E31E89"/>
    <w:rsid w:val="00E33147"/>
    <w:rsid w:val="00E34168"/>
    <w:rsid w:val="00E35793"/>
    <w:rsid w:val="00E36407"/>
    <w:rsid w:val="00E4026E"/>
    <w:rsid w:val="00E40E41"/>
    <w:rsid w:val="00E42D93"/>
    <w:rsid w:val="00E43DB9"/>
    <w:rsid w:val="00E448A1"/>
    <w:rsid w:val="00E4673B"/>
    <w:rsid w:val="00E50281"/>
    <w:rsid w:val="00E50F6F"/>
    <w:rsid w:val="00E51DC4"/>
    <w:rsid w:val="00E539D7"/>
    <w:rsid w:val="00E539FD"/>
    <w:rsid w:val="00E54361"/>
    <w:rsid w:val="00E546AB"/>
    <w:rsid w:val="00E55DCB"/>
    <w:rsid w:val="00E56EEF"/>
    <w:rsid w:val="00E60CAF"/>
    <w:rsid w:val="00E61B39"/>
    <w:rsid w:val="00E62835"/>
    <w:rsid w:val="00E64523"/>
    <w:rsid w:val="00E6528D"/>
    <w:rsid w:val="00E6683D"/>
    <w:rsid w:val="00E7041F"/>
    <w:rsid w:val="00E70A06"/>
    <w:rsid w:val="00E730C7"/>
    <w:rsid w:val="00E73610"/>
    <w:rsid w:val="00E73923"/>
    <w:rsid w:val="00E751E7"/>
    <w:rsid w:val="00E76317"/>
    <w:rsid w:val="00E76946"/>
    <w:rsid w:val="00E769AC"/>
    <w:rsid w:val="00E77645"/>
    <w:rsid w:val="00E77AE3"/>
    <w:rsid w:val="00E77E21"/>
    <w:rsid w:val="00E810BF"/>
    <w:rsid w:val="00E83697"/>
    <w:rsid w:val="00E83810"/>
    <w:rsid w:val="00E84686"/>
    <w:rsid w:val="00E854D4"/>
    <w:rsid w:val="00E858CD"/>
    <w:rsid w:val="00E870A0"/>
    <w:rsid w:val="00E91487"/>
    <w:rsid w:val="00E91DDC"/>
    <w:rsid w:val="00E925C9"/>
    <w:rsid w:val="00E92B2F"/>
    <w:rsid w:val="00E9444B"/>
    <w:rsid w:val="00E94C85"/>
    <w:rsid w:val="00EA00A8"/>
    <w:rsid w:val="00EA0AAF"/>
    <w:rsid w:val="00EA1DC3"/>
    <w:rsid w:val="00EA1ED6"/>
    <w:rsid w:val="00EA6CB4"/>
    <w:rsid w:val="00EB2AF5"/>
    <w:rsid w:val="00EB4566"/>
    <w:rsid w:val="00EB4E5D"/>
    <w:rsid w:val="00EB564C"/>
    <w:rsid w:val="00EB7699"/>
    <w:rsid w:val="00EC0A52"/>
    <w:rsid w:val="00EC39EB"/>
    <w:rsid w:val="00EC464F"/>
    <w:rsid w:val="00EC4A25"/>
    <w:rsid w:val="00EC5873"/>
    <w:rsid w:val="00EC5DC4"/>
    <w:rsid w:val="00EC6834"/>
    <w:rsid w:val="00EC6A06"/>
    <w:rsid w:val="00EC717A"/>
    <w:rsid w:val="00ED07E4"/>
    <w:rsid w:val="00ED09BF"/>
    <w:rsid w:val="00ED1D93"/>
    <w:rsid w:val="00ED20B1"/>
    <w:rsid w:val="00ED43A5"/>
    <w:rsid w:val="00EE1512"/>
    <w:rsid w:val="00EE217F"/>
    <w:rsid w:val="00EE4120"/>
    <w:rsid w:val="00EE44AD"/>
    <w:rsid w:val="00EE78CE"/>
    <w:rsid w:val="00EE7D61"/>
    <w:rsid w:val="00EF1E0A"/>
    <w:rsid w:val="00EF267F"/>
    <w:rsid w:val="00EF2758"/>
    <w:rsid w:val="00EF2F1F"/>
    <w:rsid w:val="00EF4E32"/>
    <w:rsid w:val="00F025A2"/>
    <w:rsid w:val="00F04C08"/>
    <w:rsid w:val="00F04C45"/>
    <w:rsid w:val="00F05D71"/>
    <w:rsid w:val="00F06F0B"/>
    <w:rsid w:val="00F07388"/>
    <w:rsid w:val="00F07FD6"/>
    <w:rsid w:val="00F11D6B"/>
    <w:rsid w:val="00F12B8B"/>
    <w:rsid w:val="00F17066"/>
    <w:rsid w:val="00F2026E"/>
    <w:rsid w:val="00F20B49"/>
    <w:rsid w:val="00F20C7B"/>
    <w:rsid w:val="00F22078"/>
    <w:rsid w:val="00F2210A"/>
    <w:rsid w:val="00F22362"/>
    <w:rsid w:val="00F24379"/>
    <w:rsid w:val="00F2595D"/>
    <w:rsid w:val="00F2754C"/>
    <w:rsid w:val="00F31951"/>
    <w:rsid w:val="00F31CC8"/>
    <w:rsid w:val="00F32173"/>
    <w:rsid w:val="00F3250E"/>
    <w:rsid w:val="00F326D6"/>
    <w:rsid w:val="00F32EE5"/>
    <w:rsid w:val="00F37743"/>
    <w:rsid w:val="00F40310"/>
    <w:rsid w:val="00F42B86"/>
    <w:rsid w:val="00F44FCE"/>
    <w:rsid w:val="00F47078"/>
    <w:rsid w:val="00F4731F"/>
    <w:rsid w:val="00F52DBE"/>
    <w:rsid w:val="00F53AAD"/>
    <w:rsid w:val="00F53C8B"/>
    <w:rsid w:val="00F5490A"/>
    <w:rsid w:val="00F54A3D"/>
    <w:rsid w:val="00F54F7D"/>
    <w:rsid w:val="00F57BF9"/>
    <w:rsid w:val="00F62456"/>
    <w:rsid w:val="00F653B8"/>
    <w:rsid w:val="00F66E5B"/>
    <w:rsid w:val="00F705E6"/>
    <w:rsid w:val="00F71B89"/>
    <w:rsid w:val="00F7353C"/>
    <w:rsid w:val="00F74FB5"/>
    <w:rsid w:val="00F75B5F"/>
    <w:rsid w:val="00F76050"/>
    <w:rsid w:val="00F76F8F"/>
    <w:rsid w:val="00F777E4"/>
    <w:rsid w:val="00F80C4B"/>
    <w:rsid w:val="00F80F72"/>
    <w:rsid w:val="00F81496"/>
    <w:rsid w:val="00F8151C"/>
    <w:rsid w:val="00F83135"/>
    <w:rsid w:val="00F84AD1"/>
    <w:rsid w:val="00F8529B"/>
    <w:rsid w:val="00F8570F"/>
    <w:rsid w:val="00F8639A"/>
    <w:rsid w:val="00F941A4"/>
    <w:rsid w:val="00F96CF4"/>
    <w:rsid w:val="00F971CB"/>
    <w:rsid w:val="00F97D6E"/>
    <w:rsid w:val="00FA0274"/>
    <w:rsid w:val="00FA0D44"/>
    <w:rsid w:val="00FA1266"/>
    <w:rsid w:val="00FA1C5C"/>
    <w:rsid w:val="00FA22EE"/>
    <w:rsid w:val="00FA2EA8"/>
    <w:rsid w:val="00FA4BA7"/>
    <w:rsid w:val="00FA6B50"/>
    <w:rsid w:val="00FA7156"/>
    <w:rsid w:val="00FA760F"/>
    <w:rsid w:val="00FA7A0F"/>
    <w:rsid w:val="00FB0844"/>
    <w:rsid w:val="00FB11CA"/>
    <w:rsid w:val="00FB16A0"/>
    <w:rsid w:val="00FB1ACE"/>
    <w:rsid w:val="00FB1FDF"/>
    <w:rsid w:val="00FB4507"/>
    <w:rsid w:val="00FB46CA"/>
    <w:rsid w:val="00FB5C29"/>
    <w:rsid w:val="00FB69F2"/>
    <w:rsid w:val="00FC0B77"/>
    <w:rsid w:val="00FC1192"/>
    <w:rsid w:val="00FC40D3"/>
    <w:rsid w:val="00FC5133"/>
    <w:rsid w:val="00FC63B6"/>
    <w:rsid w:val="00FC77D8"/>
    <w:rsid w:val="00FD03E5"/>
    <w:rsid w:val="00FD1FA7"/>
    <w:rsid w:val="00FD2CBF"/>
    <w:rsid w:val="00FD3E22"/>
    <w:rsid w:val="00FD4EDD"/>
    <w:rsid w:val="00FD55F1"/>
    <w:rsid w:val="00FE0DB2"/>
    <w:rsid w:val="00FE55FB"/>
    <w:rsid w:val="00FE5909"/>
    <w:rsid w:val="00FF0142"/>
    <w:rsid w:val="00FF05DE"/>
    <w:rsid w:val="00FF0BC3"/>
    <w:rsid w:val="00FF122E"/>
    <w:rsid w:val="00FF1498"/>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2861</Words>
  <Characters>16309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2</cp:revision>
  <dcterms:created xsi:type="dcterms:W3CDTF">2022-09-29T14:27:00Z</dcterms:created>
  <dcterms:modified xsi:type="dcterms:W3CDTF">2022-09-29T14:27:00Z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